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D365D86"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A82C04">
        <w:rPr>
          <w:bCs/>
          <w:noProof w:val="0"/>
          <w:sz w:val="24"/>
          <w:szCs w:val="24"/>
        </w:rPr>
        <w:t>1bis-e</w:t>
      </w:r>
      <w:r w:rsidRPr="00B266B0">
        <w:rPr>
          <w:bCs/>
          <w:noProof w:val="0"/>
          <w:sz w:val="24"/>
          <w:szCs w:val="24"/>
        </w:rPr>
        <w:tab/>
      </w:r>
      <w:r w:rsidR="00B50369">
        <w:rPr>
          <w:bCs/>
          <w:noProof w:val="0"/>
          <w:sz w:val="24"/>
          <w:szCs w:val="24"/>
        </w:rPr>
        <w:t>R2-2</w:t>
      </w:r>
      <w:r w:rsidR="00035DDB">
        <w:rPr>
          <w:bCs/>
          <w:noProof w:val="0"/>
          <w:sz w:val="24"/>
          <w:szCs w:val="24"/>
        </w:rPr>
        <w:t>30</w:t>
      </w:r>
      <w:r w:rsidR="002845F9">
        <w:rPr>
          <w:bCs/>
          <w:noProof w:val="0"/>
          <w:sz w:val="24"/>
          <w:szCs w:val="24"/>
        </w:rPr>
        <w:t>4016</w:t>
      </w:r>
    </w:p>
    <w:p w14:paraId="11776FA6" w14:textId="1BB6D0BF" w:rsidR="00A209D6" w:rsidRPr="00465587" w:rsidRDefault="006E401D"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17</w:t>
      </w:r>
      <w:r w:rsidR="004624C7" w:rsidRPr="004624C7">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Pr>
          <w:bCs/>
          <w:sz w:val="24"/>
          <w:szCs w:val="24"/>
          <w:lang w:eastAsia="zh-CN"/>
        </w:rPr>
        <w:t>26</w:t>
      </w:r>
      <w:r w:rsidR="00A76932">
        <w:rPr>
          <w:bCs/>
          <w:sz w:val="24"/>
          <w:szCs w:val="24"/>
          <w:vertAlign w:val="superscript"/>
          <w:lang w:eastAsia="zh-CN"/>
        </w:rPr>
        <w:t>th</w:t>
      </w:r>
      <w:r w:rsidR="004624C7">
        <w:rPr>
          <w:bCs/>
          <w:sz w:val="24"/>
          <w:szCs w:val="24"/>
          <w:lang w:eastAsia="zh-CN"/>
        </w:rPr>
        <w:t xml:space="preserve"> </w:t>
      </w:r>
      <w:r w:rsidR="00B05C08">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6A3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.6.</w:t>
      </w:r>
      <w:r w:rsidR="00A82C04" w:rsidRPr="00A82C04">
        <w:rPr>
          <w:rFonts w:cs="Arial"/>
          <w:b/>
          <w:bCs/>
          <w:sz w:val="24"/>
        </w:rPr>
        <w:t>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607C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On enhancements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E472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E472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597B824B" w:rsidR="00C25AEA" w:rsidRDefault="00C25AEA"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41C87948" w14:textId="72D8C538" w:rsidR="00216998" w:rsidRDefault="007A74F5" w:rsidP="008A092A">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36ED4253" w14:textId="47163B4D" w:rsidR="0018139B" w:rsidRDefault="0018139B" w:rsidP="008A092A">
      <w:pPr>
        <w:pStyle w:val="PatentBody"/>
        <w:numPr>
          <w:ilvl w:val="0"/>
          <w:numId w:val="0"/>
        </w:numPr>
        <w:spacing w:after="180" w:line="240" w:lineRule="auto"/>
        <w:jc w:val="both"/>
        <w:rPr>
          <w:sz w:val="20"/>
        </w:rPr>
      </w:pPr>
    </w:p>
    <w:p w14:paraId="3AEDC7F3" w14:textId="77777777" w:rsidR="0018139B" w:rsidRDefault="0018139B" w:rsidP="008A092A">
      <w:pPr>
        <w:pStyle w:val="PatentBody"/>
        <w:numPr>
          <w:ilvl w:val="0"/>
          <w:numId w:val="0"/>
        </w:numPr>
        <w:spacing w:after="180" w:line="240" w:lineRule="auto"/>
        <w:jc w:val="both"/>
        <w:rPr>
          <w:sz w:val="20"/>
        </w:rPr>
      </w:pPr>
    </w:p>
    <w:p w14:paraId="3D3C7215" w14:textId="77777777" w:rsidR="005D2C61" w:rsidRPr="00216998" w:rsidRDefault="005D2C61" w:rsidP="005D2C61">
      <w:pPr>
        <w:pStyle w:val="Heading2"/>
      </w:pPr>
      <w:r>
        <w:t>Neighbour cell ephemeris signaling</w:t>
      </w:r>
    </w:p>
    <w:p w14:paraId="52F15AB5" w14:textId="77777777" w:rsidR="005D2C61" w:rsidRDefault="005D2C61" w:rsidP="005D2C61">
      <w:pPr>
        <w:pStyle w:val="PatentBody"/>
        <w:numPr>
          <w:ilvl w:val="0"/>
          <w:numId w:val="0"/>
        </w:numPr>
        <w:spacing w:after="180" w:line="240" w:lineRule="auto"/>
        <w:jc w:val="both"/>
        <w:rPr>
          <w:sz w:val="20"/>
        </w:rPr>
      </w:pPr>
      <w:r>
        <w:rPr>
          <w:sz w:val="20"/>
        </w:rPr>
        <w:t>In RAN2#120 [3] the following was agreed in RAN2 for Rel-17 IoT NTN:</w:t>
      </w:r>
    </w:p>
    <w:p w14:paraId="1031ABBF" w14:textId="77777777" w:rsidR="005D2C61" w:rsidRDefault="005D2C61" w:rsidP="005D2C61">
      <w:pPr>
        <w:pStyle w:val="Doc-text2"/>
        <w:pBdr>
          <w:top w:val="single" w:sz="4" w:space="1" w:color="auto"/>
          <w:left w:val="single" w:sz="4" w:space="4" w:color="auto"/>
          <w:bottom w:val="single" w:sz="4" w:space="1" w:color="auto"/>
          <w:right w:val="single" w:sz="4" w:space="4" w:color="auto"/>
        </w:pBdr>
      </w:pPr>
      <w:r>
        <w:t>Agreements:</w:t>
      </w:r>
    </w:p>
    <w:p w14:paraId="5C9677A1" w14:textId="77777777" w:rsidR="005D2C61" w:rsidRDefault="005D2C61" w:rsidP="005D2C61">
      <w:pPr>
        <w:pStyle w:val="Doc-text2"/>
        <w:numPr>
          <w:ilvl w:val="0"/>
          <w:numId w:val="10"/>
        </w:numPr>
        <w:pBdr>
          <w:top w:val="single" w:sz="4" w:space="1" w:color="auto"/>
          <w:left w:val="single" w:sz="4" w:space="4" w:color="auto"/>
          <w:bottom w:val="single" w:sz="4" w:space="1" w:color="auto"/>
          <w:right w:val="single" w:sz="4" w:space="4" w:color="auto"/>
        </w:pBdr>
      </w:pPr>
      <w:r>
        <w:t>RAN2 doesn’t introduce neighbour cell ephemeris in Rel-17 IoT-NTN, neither for eMTC not for NB-IoT. RAN2 agrees to support this in Rel-18, with details FFS.</w:t>
      </w:r>
    </w:p>
    <w:p w14:paraId="13785300" w14:textId="61E85AC8" w:rsidR="005D2C61" w:rsidRDefault="005D2C61" w:rsidP="005D2C61">
      <w:pPr>
        <w:pStyle w:val="PatentBody"/>
        <w:numPr>
          <w:ilvl w:val="0"/>
          <w:numId w:val="0"/>
        </w:numPr>
        <w:spacing w:after="180" w:line="240" w:lineRule="auto"/>
        <w:jc w:val="both"/>
        <w:rPr>
          <w:sz w:val="20"/>
          <w:lang w:val="en-US"/>
        </w:rPr>
      </w:pPr>
    </w:p>
    <w:p w14:paraId="29EF88B1" w14:textId="4E0CF90D" w:rsidR="005D2C61" w:rsidRDefault="005D2C61" w:rsidP="005D2C61">
      <w:pPr>
        <w:pStyle w:val="PatentBody"/>
        <w:numPr>
          <w:ilvl w:val="0"/>
          <w:numId w:val="0"/>
        </w:numPr>
        <w:spacing w:after="180" w:line="240" w:lineRule="auto"/>
        <w:jc w:val="both"/>
        <w:rPr>
          <w:sz w:val="20"/>
          <w:lang w:val="en-US"/>
        </w:rPr>
      </w:pPr>
      <w:r>
        <w:rPr>
          <w:sz w:val="20"/>
          <w:lang w:val="en-US"/>
        </w:rPr>
        <w:t xml:space="preserve">Furthermore, there </w:t>
      </w:r>
      <w:r w:rsidR="001F4157">
        <w:rPr>
          <w:sz w:val="20"/>
          <w:lang w:val="en-US"/>
        </w:rPr>
        <w:t>were</w:t>
      </w:r>
      <w:r>
        <w:rPr>
          <w:sz w:val="20"/>
          <w:lang w:val="en-US"/>
        </w:rPr>
        <w:t xml:space="preserve"> an e-mail discussion in </w:t>
      </w:r>
      <w:r w:rsidRPr="001E2E76">
        <w:rPr>
          <w:i/>
          <w:sz w:val="20"/>
          <w:lang w:val="en-US"/>
        </w:rPr>
        <w:t>[POST121][105][IoT NTN Enh] Neighbour cell assistance information (Qualcomm)</w:t>
      </w:r>
      <w:r>
        <w:rPr>
          <w:sz w:val="20"/>
          <w:lang w:val="en-US"/>
        </w:rPr>
        <w:t xml:space="preserve"> to discuss possible content of cell assistance information and whether this should be included in a an existing or new SIB. </w:t>
      </w:r>
    </w:p>
    <w:p w14:paraId="1F1DC5DC" w14:textId="504074F4" w:rsidR="00880811" w:rsidRDefault="00880811" w:rsidP="005D2C61">
      <w:pPr>
        <w:pStyle w:val="PatentBody"/>
        <w:numPr>
          <w:ilvl w:val="0"/>
          <w:numId w:val="0"/>
        </w:numPr>
        <w:spacing w:after="180" w:line="240" w:lineRule="auto"/>
        <w:jc w:val="both"/>
        <w:rPr>
          <w:sz w:val="20"/>
          <w:lang w:val="en-US"/>
        </w:rPr>
      </w:pPr>
      <w:r>
        <w:rPr>
          <w:sz w:val="20"/>
          <w:lang w:val="en-US"/>
        </w:rPr>
        <w:t>The suggested proposals for this discussion were the following:</w:t>
      </w:r>
    </w:p>
    <w:tbl>
      <w:tblPr>
        <w:tblStyle w:val="TableGrid"/>
        <w:tblW w:w="0" w:type="auto"/>
        <w:tblLook w:val="04A0" w:firstRow="1" w:lastRow="0" w:firstColumn="1" w:lastColumn="0" w:noHBand="0" w:noVBand="1"/>
      </w:tblPr>
      <w:tblGrid>
        <w:gridCol w:w="9631"/>
      </w:tblGrid>
      <w:tr w:rsidR="00880811" w14:paraId="18DFF438" w14:textId="77777777" w:rsidTr="00880811">
        <w:tc>
          <w:tcPr>
            <w:tcW w:w="9631" w:type="dxa"/>
          </w:tcPr>
          <w:p w14:paraId="00744359" w14:textId="77777777" w:rsidR="00880811" w:rsidRDefault="00880811" w:rsidP="00880811">
            <w:pPr>
              <w:pStyle w:val="TOC1"/>
              <w:ind w:left="851"/>
              <w:rPr>
                <w:rFonts w:ascii="Calibri" w:eastAsiaTheme="minorEastAsia" w:hAnsi="Calibri" w:cs="Calibri"/>
                <w:sz w:val="20"/>
                <w:lang w:val="en-US"/>
              </w:rPr>
            </w:pPr>
            <w:r>
              <w:rPr>
                <w:sz w:val="20"/>
              </w:rPr>
              <w:t>Proposal 1 In addition to ephemeris and optional epoch time of the satellite associated with a neighbor cell, following parameters can be optionally broadcast as neighbor cell assistance information:</w:t>
            </w:r>
          </w:p>
          <w:p w14:paraId="07485007" w14:textId="0916301E" w:rsidR="00880811" w:rsidRDefault="00880811" w:rsidP="00880811">
            <w:pPr>
              <w:pStyle w:val="TOC1"/>
              <w:ind w:left="1134"/>
              <w:rPr>
                <w:rFonts w:ascii="Calibri" w:hAnsi="Calibri" w:cs="Calibri"/>
                <w:sz w:val="20"/>
                <w:lang w:val="en-US"/>
              </w:rPr>
            </w:pPr>
            <w:r>
              <w:rPr>
                <w:sz w:val="20"/>
                <w:lang w:val="en-US"/>
              </w:rPr>
              <w:t xml:space="preserve">        - </w:t>
            </w:r>
            <w:r>
              <w:rPr>
                <w:sz w:val="20"/>
              </w:rPr>
              <w:t>(15/18) Validity duration.</w:t>
            </w:r>
          </w:p>
          <w:p w14:paraId="7C32D3D6" w14:textId="219F39F3" w:rsidR="00880811" w:rsidRDefault="00880811" w:rsidP="00880811">
            <w:pPr>
              <w:pStyle w:val="TOC1"/>
              <w:ind w:left="1134"/>
              <w:rPr>
                <w:rFonts w:ascii="Calibri" w:hAnsi="Calibri" w:cs="Calibri"/>
                <w:sz w:val="20"/>
                <w:lang w:val="en-US"/>
              </w:rPr>
            </w:pPr>
            <w:r>
              <w:rPr>
                <w:sz w:val="20"/>
              </w:rPr>
              <w:t xml:space="preserve">        - (15/18) Common TA parameters.</w:t>
            </w:r>
          </w:p>
          <w:p w14:paraId="44F5C665" w14:textId="7378ADDC" w:rsidR="00880811" w:rsidRDefault="00880811" w:rsidP="00880811">
            <w:pPr>
              <w:pStyle w:val="TOC1"/>
              <w:ind w:left="1134"/>
              <w:rPr>
                <w:rFonts w:ascii="Calibri" w:hAnsi="Calibri" w:cs="Calibri"/>
                <w:sz w:val="20"/>
                <w:lang w:val="en-US"/>
              </w:rPr>
            </w:pPr>
            <w:r>
              <w:rPr>
                <w:sz w:val="20"/>
              </w:rPr>
              <w:t xml:space="preserve">        -</w:t>
            </w:r>
            <w:r>
              <w:rPr>
                <w:rFonts w:ascii="Calibri" w:hAnsi="Calibri" w:cs="Calibri"/>
                <w:sz w:val="20"/>
                <w:lang w:val="en-US"/>
              </w:rPr>
              <w:t xml:space="preserve"> </w:t>
            </w:r>
            <w:r>
              <w:rPr>
                <w:sz w:val="20"/>
              </w:rPr>
              <w:t>(12/18) For fixed cell, cell start time.</w:t>
            </w:r>
          </w:p>
          <w:p w14:paraId="23C8E67D" w14:textId="2FCAC852" w:rsidR="00880811" w:rsidRDefault="00880811" w:rsidP="00880811">
            <w:pPr>
              <w:pStyle w:val="TOC1"/>
              <w:ind w:left="1134"/>
              <w:rPr>
                <w:rFonts w:ascii="Calibri" w:hAnsi="Calibri" w:cs="Calibri"/>
                <w:sz w:val="20"/>
                <w:lang w:val="en-US"/>
              </w:rPr>
            </w:pPr>
            <w:r>
              <w:rPr>
                <w:sz w:val="20"/>
              </w:rPr>
              <w:t xml:space="preserve">        - (9/18) FFS, cell stop time for fixed cell.</w:t>
            </w:r>
          </w:p>
          <w:p w14:paraId="6D3EFC0F" w14:textId="6A97B283" w:rsidR="00880811" w:rsidRDefault="00880811" w:rsidP="00880811">
            <w:pPr>
              <w:pStyle w:val="TOC1"/>
              <w:ind w:left="1134"/>
              <w:rPr>
                <w:rFonts w:ascii="Calibri" w:hAnsi="Calibri" w:cs="Calibri"/>
                <w:sz w:val="20"/>
                <w:lang w:val="en-US"/>
              </w:rPr>
            </w:pPr>
            <w:r>
              <w:rPr>
                <w:sz w:val="20"/>
              </w:rPr>
              <w:t xml:space="preserve">        - (8/18) FFS, reference location and distance threshold for moving cell.</w:t>
            </w:r>
          </w:p>
          <w:p w14:paraId="2458C390" w14:textId="77777777" w:rsidR="00880811" w:rsidRDefault="00880811" w:rsidP="00880811">
            <w:pPr>
              <w:pStyle w:val="TOC1"/>
              <w:ind w:left="851"/>
              <w:rPr>
                <w:rFonts w:ascii="Calibri" w:hAnsi="Calibri" w:cs="Calibri"/>
                <w:sz w:val="20"/>
                <w:lang w:val="en-US"/>
              </w:rPr>
            </w:pPr>
            <w:r>
              <w:rPr>
                <w:sz w:val="20"/>
              </w:rPr>
              <w:t>Proposal 2 (15/18) In SIB, list of neighbor satellites is provided. For each satellite, list of frequencies/cells is included. FFS on clarification of the absence case of ephemeris and frequencies/cells.</w:t>
            </w:r>
          </w:p>
          <w:p w14:paraId="7C532561" w14:textId="77777777" w:rsidR="00880811" w:rsidRDefault="00880811" w:rsidP="00880811">
            <w:pPr>
              <w:pStyle w:val="TOC1"/>
              <w:ind w:left="851"/>
              <w:rPr>
                <w:rFonts w:ascii="Calibri" w:hAnsi="Calibri" w:cs="Calibri"/>
                <w:sz w:val="20"/>
                <w:lang w:val="en-US"/>
              </w:rPr>
            </w:pPr>
            <w:r>
              <w:rPr>
                <w:sz w:val="20"/>
              </w:rPr>
              <w:t>Proposal 3 (14/18) Introduce satellite ID for the satellite in a list.</w:t>
            </w:r>
          </w:p>
          <w:p w14:paraId="7F952CAD" w14:textId="284CC948" w:rsidR="00880811" w:rsidRPr="003E4022" w:rsidRDefault="00880811" w:rsidP="003E4022">
            <w:pPr>
              <w:pStyle w:val="TOC1"/>
              <w:spacing w:after="120"/>
              <w:ind w:left="851"/>
              <w:rPr>
                <w:sz w:val="20"/>
              </w:rPr>
            </w:pPr>
            <w:r>
              <w:rPr>
                <w:sz w:val="20"/>
              </w:rPr>
              <w:t>Proposal 4 (17/18) New SIBxx is introduced to broadcast the neighbor cell/satellite information.</w:t>
            </w:r>
          </w:p>
        </w:tc>
      </w:tr>
    </w:tbl>
    <w:p w14:paraId="53D39380" w14:textId="77777777" w:rsidR="00880811" w:rsidRDefault="00880811" w:rsidP="005D2C61">
      <w:pPr>
        <w:pStyle w:val="PatentBody"/>
        <w:numPr>
          <w:ilvl w:val="0"/>
          <w:numId w:val="0"/>
        </w:numPr>
        <w:spacing w:after="180" w:line="240" w:lineRule="auto"/>
        <w:jc w:val="both"/>
        <w:rPr>
          <w:sz w:val="20"/>
          <w:lang w:val="en-US"/>
        </w:rPr>
      </w:pPr>
    </w:p>
    <w:p w14:paraId="292A6118" w14:textId="456E0804" w:rsidR="00880811" w:rsidRDefault="00880811" w:rsidP="005D2C61">
      <w:pPr>
        <w:pStyle w:val="PatentBody"/>
        <w:numPr>
          <w:ilvl w:val="0"/>
          <w:numId w:val="0"/>
        </w:numPr>
        <w:spacing w:after="180" w:line="240" w:lineRule="auto"/>
        <w:jc w:val="both"/>
        <w:rPr>
          <w:sz w:val="20"/>
          <w:lang w:val="en-US"/>
        </w:rPr>
      </w:pPr>
      <w:r>
        <w:rPr>
          <w:sz w:val="20"/>
          <w:lang w:val="en-US"/>
        </w:rPr>
        <w:t>First, we believe that it should be agreed that a new SIB should be introduced for IoT NTN. This because there are SIB size restrictions which would make it challenging to fit a number of neighbouring satellite elem</w:t>
      </w:r>
      <w:r w:rsidR="0055000F">
        <w:rPr>
          <w:sz w:val="20"/>
          <w:lang w:val="en-US"/>
        </w:rPr>
        <w:t>ents in SIB31. Furthermore, ad</w:t>
      </w:r>
      <w:r w:rsidR="001F4157">
        <w:rPr>
          <w:sz w:val="20"/>
          <w:lang w:val="en-US"/>
        </w:rPr>
        <w:t>ding to the size of the old SIB</w:t>
      </w:r>
      <w:r w:rsidR="0055000F">
        <w:rPr>
          <w:sz w:val="20"/>
          <w:lang w:val="en-US"/>
        </w:rPr>
        <w:t xml:space="preserve"> will affect Rel-17 UEs that do not need to read the neighbouring satelli</w:t>
      </w:r>
      <w:r w:rsidR="001F4157">
        <w:rPr>
          <w:sz w:val="20"/>
          <w:lang w:val="en-US"/>
        </w:rPr>
        <w:t xml:space="preserve">te elements. This would especially problematic </w:t>
      </w:r>
      <w:r w:rsidR="0055000F">
        <w:rPr>
          <w:sz w:val="20"/>
          <w:lang w:val="en-US"/>
        </w:rPr>
        <w:t>since these UEs are expected to be connected for a shorter time, potentially in a radio-environment that does not lend itself well to larger data rates, which are expected to be the use case of Rel-18 IoT NTN. This is also natural as most SIBs are centered around information elements for a UE to measure neighbouring frequencies, such as inter-frequencies, inter-RAT etc. Therefore we would like to confirm:</w:t>
      </w:r>
    </w:p>
    <w:p w14:paraId="5AC775BE" w14:textId="6927E8A6" w:rsidR="0055000F" w:rsidRPr="00534672" w:rsidRDefault="0055000F" w:rsidP="0055000F">
      <w:pPr>
        <w:jc w:val="both"/>
        <w:rPr>
          <w:b/>
        </w:rPr>
      </w:pPr>
      <w:r>
        <w:rPr>
          <w:b/>
        </w:rPr>
        <w:t>Proposal 1: Introduce new SIB to broadcast neighbour cell/satellite information.</w:t>
      </w:r>
    </w:p>
    <w:p w14:paraId="2432CAC4" w14:textId="3E185007" w:rsidR="0055000F" w:rsidRDefault="001B5A48" w:rsidP="005D2C61">
      <w:pPr>
        <w:pStyle w:val="PatentBody"/>
        <w:numPr>
          <w:ilvl w:val="0"/>
          <w:numId w:val="0"/>
        </w:numPr>
        <w:spacing w:after="180" w:line="240" w:lineRule="auto"/>
        <w:jc w:val="both"/>
        <w:rPr>
          <w:sz w:val="20"/>
          <w:lang w:val="en-US"/>
        </w:rPr>
      </w:pPr>
      <w:r>
        <w:rPr>
          <w:sz w:val="20"/>
          <w:lang w:val="en-US"/>
        </w:rPr>
        <w:t xml:space="preserve">In the e-mail discussion there were discussions on content in the new SIB. One specific part that was discussed was that on validity duration. </w:t>
      </w:r>
      <w:r w:rsidR="009B3827">
        <w:rPr>
          <w:sz w:val="20"/>
          <w:lang w:val="en-US"/>
        </w:rPr>
        <w:t xml:space="preserve">A majority of companies believe that the validity duration can be introduced per satellite. However, we believe that there may be some issues with this. </w:t>
      </w:r>
    </w:p>
    <w:p w14:paraId="45C2F15D" w14:textId="5F923E50" w:rsidR="009B3827" w:rsidRDefault="009B3827" w:rsidP="005D2C61">
      <w:pPr>
        <w:pStyle w:val="PatentBody"/>
        <w:numPr>
          <w:ilvl w:val="0"/>
          <w:numId w:val="0"/>
        </w:numPr>
        <w:spacing w:after="180" w:line="240" w:lineRule="auto"/>
        <w:jc w:val="both"/>
        <w:rPr>
          <w:sz w:val="20"/>
          <w:lang w:val="en-US"/>
        </w:rPr>
      </w:pPr>
      <w:r>
        <w:rPr>
          <w:sz w:val="20"/>
          <w:lang w:val="en-US"/>
        </w:rPr>
        <w:t xml:space="preserve">In IoT NTN for the serving cell, there is only one validity duration. This validity duration may for instance be updated when performing a handover to another cell. One issue with this, is that it would not be clear how to handle such a validity duration. </w:t>
      </w:r>
      <w:r w:rsidR="000E6808">
        <w:rPr>
          <w:sz w:val="20"/>
          <w:lang w:val="en-US"/>
        </w:rPr>
        <w:t>For instance, if there are multiple satellites, this means that there are multiple validity duration timers. This leads to unnecessary complexity. In NR NTN, there may be multiple</w:t>
      </w:r>
      <w:r w:rsidR="008E799C">
        <w:rPr>
          <w:sz w:val="20"/>
          <w:lang w:val="en-US"/>
        </w:rPr>
        <w:t xml:space="preserve"> validity duration timers, but for IoT NTN where a UE cannot be expected to be able to read any system information while in connected mode, this cannot be left to UE implementation. This is similar to how the uplink sync validity timer</w:t>
      </w:r>
      <w:r w:rsidR="001F4157">
        <w:rPr>
          <w:sz w:val="20"/>
          <w:lang w:val="en-US"/>
        </w:rPr>
        <w:t xml:space="preserve"> functions</w:t>
      </w:r>
      <w:r w:rsidR="008E799C">
        <w:rPr>
          <w:sz w:val="20"/>
          <w:lang w:val="en-US"/>
        </w:rPr>
        <w:t xml:space="preserve"> where re-acquiring the NTN SIB (SIB19 in NR NTN) is more left to UE implementation while it is specified in IoT NTN. The reason for that is that the UE cannot be expected to read system information by implementation. Thus we think RAN2 needs to discuss more details on how the validity duration will function for the purpose of measuring neighbouring cells. </w:t>
      </w:r>
    </w:p>
    <w:p w14:paraId="7965802B" w14:textId="7DC894B7" w:rsidR="00870576" w:rsidRPr="00870576" w:rsidRDefault="00870576" w:rsidP="005D2C61">
      <w:pPr>
        <w:pStyle w:val="PatentBody"/>
        <w:numPr>
          <w:ilvl w:val="0"/>
          <w:numId w:val="0"/>
        </w:numPr>
        <w:spacing w:after="180" w:line="240" w:lineRule="auto"/>
        <w:jc w:val="both"/>
        <w:rPr>
          <w:b/>
          <w:sz w:val="20"/>
          <w:lang w:val="en-US"/>
        </w:rPr>
      </w:pPr>
      <w:r w:rsidRPr="00870576">
        <w:rPr>
          <w:b/>
          <w:sz w:val="20"/>
          <w:lang w:val="en-US"/>
        </w:rPr>
        <w:lastRenderedPageBreak/>
        <w:t xml:space="preserve">Observation 1: A validity duration per satellite/ephemeris element may bring considerable complexity for an IoT device. </w:t>
      </w:r>
    </w:p>
    <w:p w14:paraId="61798C1C" w14:textId="69FA0805" w:rsidR="00F642D7" w:rsidRDefault="00F642D7" w:rsidP="00F642D7">
      <w:pPr>
        <w:jc w:val="both"/>
        <w:rPr>
          <w:b/>
        </w:rPr>
      </w:pPr>
      <w:r>
        <w:rPr>
          <w:b/>
        </w:rPr>
        <w:t xml:space="preserve">Proposal </w:t>
      </w:r>
      <w:r w:rsidR="00A34C56">
        <w:rPr>
          <w:b/>
        </w:rPr>
        <w:t>2</w:t>
      </w:r>
      <w:r>
        <w:rPr>
          <w:b/>
        </w:rPr>
        <w:t xml:space="preserve">: RAN2 to discuss details on how validity duration for neighbouring cells for the purpose of measuring </w:t>
      </w:r>
      <w:r w:rsidR="00870576">
        <w:rPr>
          <w:b/>
        </w:rPr>
        <w:t>shall function</w:t>
      </w:r>
      <w:r>
        <w:rPr>
          <w:b/>
        </w:rPr>
        <w:t xml:space="preserve">, given IoT limitations. </w:t>
      </w:r>
    </w:p>
    <w:p w14:paraId="7FC0E3E9" w14:textId="35D07099" w:rsidR="00F303CC" w:rsidRDefault="00870576" w:rsidP="00F642D7">
      <w:pPr>
        <w:jc w:val="both"/>
      </w:pPr>
      <w:r>
        <w:t>The core of the issue of the validity duration for neighbouring cell ephemer</w:t>
      </w:r>
      <w:r w:rsidR="0072023D">
        <w:t xml:space="preserve">is for the purpose of measurement </w:t>
      </w:r>
      <w:r>
        <w:t xml:space="preserve">comes down to ensuring that a UE measures using updated ephemeris. </w:t>
      </w:r>
      <w:r w:rsidR="00117C7C">
        <w:t xml:space="preserve">This can potentially be ensured by a number of ways: </w:t>
      </w:r>
    </w:p>
    <w:p w14:paraId="2E506B93" w14:textId="77777777" w:rsidR="00117C7C" w:rsidRPr="00117C7C" w:rsidRDefault="00117C7C" w:rsidP="00F642D7">
      <w:pPr>
        <w:pStyle w:val="ListParagraph"/>
        <w:numPr>
          <w:ilvl w:val="0"/>
          <w:numId w:val="18"/>
        </w:numPr>
        <w:jc w:val="both"/>
        <w:rPr>
          <w:sz w:val="20"/>
        </w:rPr>
      </w:pPr>
      <w:r w:rsidRPr="00117C7C">
        <w:rPr>
          <w:sz w:val="20"/>
        </w:rPr>
        <w:t xml:space="preserve">One validity duration per satellite/ephemeris element. The pros and cons are described above. </w:t>
      </w:r>
    </w:p>
    <w:p w14:paraId="1C00FCB0" w14:textId="7AB5950A" w:rsidR="00117C7C" w:rsidRPr="00117C7C" w:rsidRDefault="00117C7C" w:rsidP="00F642D7">
      <w:pPr>
        <w:pStyle w:val="ListParagraph"/>
        <w:numPr>
          <w:ilvl w:val="0"/>
          <w:numId w:val="18"/>
        </w:numPr>
        <w:jc w:val="both"/>
        <w:rPr>
          <w:sz w:val="20"/>
        </w:rPr>
      </w:pPr>
      <w:r w:rsidRPr="00117C7C">
        <w:rPr>
          <w:sz w:val="20"/>
        </w:rPr>
        <w:t xml:space="preserve">One validity duration for the new SIB containing the neighbour cell ephemeris. This would simplify UE operation as only one timer needs to be maintained. </w:t>
      </w:r>
    </w:p>
    <w:p w14:paraId="23238DBB" w14:textId="7C2C78FD" w:rsidR="00117C7C" w:rsidRPr="00117C7C" w:rsidRDefault="00117C7C" w:rsidP="00F642D7">
      <w:pPr>
        <w:pStyle w:val="ListParagraph"/>
        <w:numPr>
          <w:ilvl w:val="0"/>
          <w:numId w:val="18"/>
        </w:numPr>
        <w:jc w:val="both"/>
        <w:rPr>
          <w:sz w:val="20"/>
        </w:rPr>
      </w:pPr>
      <w:r w:rsidRPr="00117C7C">
        <w:rPr>
          <w:sz w:val="20"/>
        </w:rPr>
        <w:t xml:space="preserve">No validity duration for the new SIB, but </w:t>
      </w:r>
      <w:r>
        <w:rPr>
          <w:sz w:val="20"/>
        </w:rPr>
        <w:t>read the new</w:t>
      </w:r>
      <w:r w:rsidRPr="00117C7C">
        <w:rPr>
          <w:sz w:val="20"/>
        </w:rPr>
        <w:t xml:space="preserve"> </w:t>
      </w:r>
      <w:r>
        <w:rPr>
          <w:sz w:val="20"/>
        </w:rPr>
        <w:t xml:space="preserve">SIB upon SIB31 uplink sync validity duration expiry. </w:t>
      </w:r>
    </w:p>
    <w:p w14:paraId="64D11051" w14:textId="31B508C1" w:rsidR="00117C7C" w:rsidRPr="00117C7C" w:rsidRDefault="00117C7C" w:rsidP="00F642D7">
      <w:pPr>
        <w:pStyle w:val="ListParagraph"/>
        <w:numPr>
          <w:ilvl w:val="0"/>
          <w:numId w:val="18"/>
        </w:numPr>
        <w:jc w:val="both"/>
        <w:rPr>
          <w:sz w:val="20"/>
        </w:rPr>
      </w:pPr>
      <w:r w:rsidRPr="00117C7C">
        <w:rPr>
          <w:sz w:val="20"/>
        </w:rPr>
        <w:t xml:space="preserve">The UE only acquires the new SIB once. </w:t>
      </w:r>
      <w:r>
        <w:rPr>
          <w:sz w:val="20"/>
        </w:rPr>
        <w:t xml:space="preserve">This can for instance be when connecting to the cell if the UE is capable of reading the new SIB. </w:t>
      </w:r>
    </w:p>
    <w:p w14:paraId="7A75AA62" w14:textId="6A8BE3FE" w:rsidR="00117C7C" w:rsidRDefault="00117C7C" w:rsidP="005D2C61">
      <w:pPr>
        <w:pStyle w:val="PatentBody"/>
        <w:numPr>
          <w:ilvl w:val="0"/>
          <w:numId w:val="0"/>
        </w:numPr>
        <w:spacing w:after="180" w:line="240" w:lineRule="auto"/>
        <w:jc w:val="both"/>
        <w:rPr>
          <w:sz w:val="20"/>
          <w:lang w:val="en-US"/>
        </w:rPr>
      </w:pPr>
    </w:p>
    <w:p w14:paraId="13B678B8" w14:textId="3A50E9AB" w:rsidR="00117C7C" w:rsidRDefault="00117C7C" w:rsidP="005D2C61">
      <w:pPr>
        <w:pStyle w:val="PatentBody"/>
        <w:numPr>
          <w:ilvl w:val="0"/>
          <w:numId w:val="0"/>
        </w:numPr>
        <w:spacing w:after="180" w:line="240" w:lineRule="auto"/>
        <w:jc w:val="both"/>
        <w:rPr>
          <w:sz w:val="20"/>
          <w:lang w:val="en-US"/>
        </w:rPr>
      </w:pPr>
      <w:r>
        <w:rPr>
          <w:sz w:val="20"/>
          <w:lang w:val="en-US"/>
        </w:rPr>
        <w:t xml:space="preserve">We propose that RAN2 discuss the different options on how to deal with the validity duration for the new SIB. </w:t>
      </w:r>
    </w:p>
    <w:p w14:paraId="1843FFFE" w14:textId="3C3FAD12" w:rsidR="00117C7C" w:rsidRDefault="00117C7C" w:rsidP="00EA0DCF">
      <w:pPr>
        <w:spacing w:after="60"/>
        <w:jc w:val="both"/>
        <w:rPr>
          <w:b/>
        </w:rPr>
      </w:pPr>
      <w:r>
        <w:rPr>
          <w:b/>
        </w:rPr>
        <w:t xml:space="preserve">Proposal </w:t>
      </w:r>
      <w:r w:rsidR="00A34C56">
        <w:rPr>
          <w:b/>
        </w:rPr>
        <w:t>3</w:t>
      </w:r>
      <w:r>
        <w:rPr>
          <w:b/>
        </w:rPr>
        <w:t xml:space="preserve">: RAN2 consider different options on validity duration for neighbouring cells: </w:t>
      </w:r>
    </w:p>
    <w:p w14:paraId="70EF8E2D" w14:textId="05E370A2" w:rsidR="00117C7C" w:rsidRDefault="00117C7C" w:rsidP="00EA0DCF">
      <w:pPr>
        <w:spacing w:after="60"/>
        <w:jc w:val="both"/>
        <w:rPr>
          <w:b/>
        </w:rPr>
      </w:pPr>
      <w:r>
        <w:rPr>
          <w:b/>
        </w:rPr>
        <w:tab/>
      </w:r>
      <w:r>
        <w:rPr>
          <w:b/>
        </w:rPr>
        <w:tab/>
      </w:r>
      <w:r>
        <w:rPr>
          <w:b/>
        </w:rPr>
        <w:tab/>
      </w:r>
      <w:r>
        <w:rPr>
          <w:b/>
        </w:rPr>
        <w:tab/>
      </w:r>
      <w:r w:rsidR="00A34C56">
        <w:rPr>
          <w:b/>
        </w:rPr>
        <w:t>a</w:t>
      </w:r>
      <w:r>
        <w:rPr>
          <w:b/>
        </w:rPr>
        <w:t>. Validity duration per satellite/ephemeris</w:t>
      </w:r>
    </w:p>
    <w:p w14:paraId="1859832A" w14:textId="0BE1C178" w:rsidR="00117C7C" w:rsidRDefault="00117C7C" w:rsidP="00EA0DCF">
      <w:pPr>
        <w:spacing w:after="60"/>
        <w:jc w:val="both"/>
        <w:rPr>
          <w:b/>
        </w:rPr>
      </w:pPr>
      <w:r>
        <w:rPr>
          <w:b/>
        </w:rPr>
        <w:tab/>
      </w:r>
      <w:r>
        <w:rPr>
          <w:b/>
        </w:rPr>
        <w:tab/>
      </w:r>
      <w:r>
        <w:rPr>
          <w:b/>
        </w:rPr>
        <w:tab/>
      </w:r>
      <w:r>
        <w:rPr>
          <w:b/>
        </w:rPr>
        <w:tab/>
      </w:r>
      <w:r w:rsidR="00A34C56">
        <w:rPr>
          <w:b/>
        </w:rPr>
        <w:t>b</w:t>
      </w:r>
      <w:r>
        <w:rPr>
          <w:b/>
        </w:rPr>
        <w:t>. One validity duration for the new SIB containing the neighbour cell ephemeris</w:t>
      </w:r>
    </w:p>
    <w:p w14:paraId="68867262" w14:textId="03C9D640" w:rsidR="00117C7C" w:rsidRDefault="00117C7C" w:rsidP="00EA0DCF">
      <w:pPr>
        <w:spacing w:after="60"/>
        <w:jc w:val="both"/>
        <w:rPr>
          <w:b/>
        </w:rPr>
      </w:pPr>
      <w:r>
        <w:rPr>
          <w:b/>
        </w:rPr>
        <w:tab/>
      </w:r>
      <w:r>
        <w:rPr>
          <w:b/>
        </w:rPr>
        <w:tab/>
      </w:r>
      <w:r>
        <w:rPr>
          <w:b/>
        </w:rPr>
        <w:tab/>
      </w:r>
      <w:r>
        <w:rPr>
          <w:b/>
        </w:rPr>
        <w:tab/>
      </w:r>
      <w:r w:rsidR="00A34C56">
        <w:rPr>
          <w:b/>
        </w:rPr>
        <w:t>c</w:t>
      </w:r>
      <w:r>
        <w:rPr>
          <w:b/>
        </w:rPr>
        <w:t xml:space="preserve">. No validity duration for the new SIB, use SIB31 uplink sync validity duration to read new </w:t>
      </w:r>
      <w:r>
        <w:rPr>
          <w:b/>
        </w:rPr>
        <w:tab/>
      </w:r>
      <w:r>
        <w:rPr>
          <w:b/>
        </w:rPr>
        <w:tab/>
      </w:r>
      <w:r>
        <w:rPr>
          <w:b/>
        </w:rPr>
        <w:tab/>
      </w:r>
      <w:r>
        <w:rPr>
          <w:b/>
        </w:rPr>
        <w:tab/>
        <w:t>SIB.</w:t>
      </w:r>
    </w:p>
    <w:p w14:paraId="6BC6AAEC" w14:textId="650E37C3" w:rsidR="00117C7C" w:rsidRDefault="00117C7C" w:rsidP="00EA0DCF">
      <w:pPr>
        <w:spacing w:after="60"/>
        <w:jc w:val="both"/>
        <w:rPr>
          <w:b/>
        </w:rPr>
      </w:pPr>
      <w:r>
        <w:rPr>
          <w:b/>
        </w:rPr>
        <w:tab/>
      </w:r>
      <w:r>
        <w:rPr>
          <w:b/>
        </w:rPr>
        <w:tab/>
      </w:r>
      <w:r>
        <w:rPr>
          <w:b/>
        </w:rPr>
        <w:tab/>
      </w:r>
      <w:r>
        <w:rPr>
          <w:b/>
        </w:rPr>
        <w:tab/>
      </w:r>
      <w:r w:rsidR="00A34C56">
        <w:rPr>
          <w:b/>
        </w:rPr>
        <w:t>d</w:t>
      </w:r>
      <w:r>
        <w:rPr>
          <w:b/>
        </w:rPr>
        <w:t xml:space="preserve">. The UE only acquires the new </w:t>
      </w:r>
      <w:r w:rsidR="00EA0DCF">
        <w:rPr>
          <w:b/>
        </w:rPr>
        <w:t xml:space="preserve">SIB once. This can for instance be when connecting to </w:t>
      </w:r>
      <w:r w:rsidR="00EA0DCF">
        <w:rPr>
          <w:b/>
        </w:rPr>
        <w:tab/>
      </w:r>
      <w:r w:rsidR="00EA0DCF">
        <w:rPr>
          <w:b/>
        </w:rPr>
        <w:tab/>
      </w:r>
      <w:r w:rsidR="00EA0DCF">
        <w:rPr>
          <w:b/>
        </w:rPr>
        <w:tab/>
      </w:r>
      <w:r w:rsidR="00EA0DCF">
        <w:rPr>
          <w:b/>
        </w:rPr>
        <w:tab/>
      </w:r>
      <w:r w:rsidR="00EA0DCF">
        <w:rPr>
          <w:b/>
        </w:rPr>
        <w:tab/>
        <w:t xml:space="preserve">the cell is the UE is capable of reading the new SIB. </w:t>
      </w:r>
    </w:p>
    <w:p w14:paraId="3FFA9550" w14:textId="46A554A9" w:rsidR="005D2C61" w:rsidRDefault="005D2C61" w:rsidP="005D2C61">
      <w:pPr>
        <w:pStyle w:val="PatentBody"/>
        <w:numPr>
          <w:ilvl w:val="0"/>
          <w:numId w:val="0"/>
        </w:numPr>
        <w:spacing w:after="180" w:line="240" w:lineRule="auto"/>
        <w:jc w:val="both"/>
        <w:rPr>
          <w:b/>
          <w:sz w:val="20"/>
          <w:lang w:val="en-US"/>
        </w:rPr>
      </w:pPr>
    </w:p>
    <w:p w14:paraId="357C2A23" w14:textId="0F28F390" w:rsidR="005D2C61" w:rsidRDefault="005D2C61" w:rsidP="005D2C61">
      <w:pPr>
        <w:rPr>
          <w:lang w:val="en-GB" w:eastAsia="en-US"/>
        </w:rPr>
      </w:pPr>
      <w:r>
        <w:rPr>
          <w:lang w:val="en-GB" w:eastAsia="en-US"/>
        </w:rPr>
        <w:t>For the target cell neighbour cell ephemeris for eMTC, there are also some</w:t>
      </w:r>
      <w:r w:rsidR="0022251E">
        <w:rPr>
          <w:lang w:val="en-GB" w:eastAsia="en-US"/>
        </w:rPr>
        <w:t xml:space="preserve"> other</w:t>
      </w:r>
      <w:r>
        <w:rPr>
          <w:lang w:val="en-GB" w:eastAsia="en-US"/>
        </w:rPr>
        <w:t xml:space="preserve"> considerations needed. In IoT NTN Rel-17, the target cell ephemeris is sent with SIB31 as part of </w:t>
      </w:r>
      <w:r w:rsidRPr="0099772A">
        <w:rPr>
          <w:i/>
          <w:lang w:val="en-GB" w:eastAsia="en-US"/>
        </w:rPr>
        <w:t>RRCConnectionReconfiguration</w:t>
      </w:r>
      <w:r>
        <w:rPr>
          <w:lang w:val="en-GB" w:eastAsia="en-US"/>
        </w:rPr>
        <w:t xml:space="preserve"> along with the handover command (</w:t>
      </w:r>
      <w:r w:rsidRPr="00D019F7">
        <w:rPr>
          <w:i/>
          <w:lang w:val="en-GB" w:eastAsia="en-US"/>
        </w:rPr>
        <w:t>mobilityControlInfo</w:t>
      </w:r>
      <w:r>
        <w:rPr>
          <w:lang w:val="en-GB" w:eastAsia="en-US"/>
        </w:rPr>
        <w:t xml:space="preserve">) so that IoT NTN UE does not have to read any SIB in connected mode except as indicated by T317. </w:t>
      </w:r>
      <w:r w:rsidR="0022251E">
        <w:rPr>
          <w:lang w:val="en-GB" w:eastAsia="en-US"/>
        </w:rPr>
        <w:t xml:space="preserve">This is because the UE should be configured with all system information required for operating in that cell, so that UE does not need to acquire any system information when having connected. This implies that the new SIB (if agreed) should be included in the handover command to the UE. </w:t>
      </w:r>
      <w:r>
        <w:rPr>
          <w:lang w:val="en-GB" w:eastAsia="en-US"/>
        </w:rPr>
        <w:t xml:space="preserve">If the target cell neighbour cell ephemeris is included in a handover command, it is likely that the handover command may become prohibitively large. </w:t>
      </w:r>
    </w:p>
    <w:p w14:paraId="65142629" w14:textId="76B6B7D3" w:rsidR="000824A8" w:rsidRDefault="005D2C61" w:rsidP="005D2C61">
      <w:pPr>
        <w:rPr>
          <w:lang w:val="en-GB" w:eastAsia="en-US"/>
        </w:rPr>
      </w:pPr>
      <w:r>
        <w:rPr>
          <w:lang w:val="en-GB" w:eastAsia="en-US"/>
        </w:rPr>
        <w:t>To solve the above problems, we think that the solution can be that a UE acquires the neighbour cell ephemeris in the cell that it is connected to. This is also motivated by the fact that acquiring neighbour cell ephemeris may not be crucial a</w:t>
      </w:r>
      <w:r w:rsidR="000824A8">
        <w:rPr>
          <w:lang w:val="en-GB" w:eastAsia="en-US"/>
        </w:rPr>
        <w:t>t</w:t>
      </w:r>
      <w:r w:rsidR="001F4157">
        <w:rPr>
          <w:lang w:val="en-GB" w:eastAsia="en-US"/>
        </w:rPr>
        <w:t xml:space="preserve"> the</w:t>
      </w:r>
      <w:r w:rsidR="000824A8">
        <w:rPr>
          <w:lang w:val="en-GB" w:eastAsia="en-US"/>
        </w:rPr>
        <w:t xml:space="preserve"> first moment when connecting. It is further motivated by the fact that the moment when a handover is performed may not be the optimal moment to deliver large amount of data. </w:t>
      </w:r>
    </w:p>
    <w:p w14:paraId="7BDB7534" w14:textId="4149E504" w:rsidR="000824A8" w:rsidRDefault="000824A8" w:rsidP="005D2C61">
      <w:pPr>
        <w:rPr>
          <w:lang w:val="en-GB" w:eastAsia="en-US"/>
        </w:rPr>
      </w:pPr>
      <w:r>
        <w:rPr>
          <w:lang w:val="en-GB" w:eastAsia="en-US"/>
        </w:rPr>
        <w:t xml:space="preserve">Options can be that a UE acquires the target cell neighbour cell ephemeris for measurements by reading the system information after having connected to the target cell or via dedicated signalling. </w:t>
      </w:r>
    </w:p>
    <w:p w14:paraId="72DC7DAA" w14:textId="5BE71485" w:rsidR="005D2C61" w:rsidRPr="0016769C" w:rsidRDefault="005D2C61" w:rsidP="0016769C">
      <w:pPr>
        <w:jc w:val="both"/>
        <w:rPr>
          <w:b/>
        </w:rPr>
      </w:pPr>
      <w:r>
        <w:rPr>
          <w:b/>
        </w:rPr>
        <w:t xml:space="preserve">Proposal </w:t>
      </w:r>
      <w:r w:rsidR="00A34C56">
        <w:rPr>
          <w:b/>
        </w:rPr>
        <w:t>4</w:t>
      </w:r>
      <w:r>
        <w:rPr>
          <w:b/>
        </w:rPr>
        <w:t>: Target cell neighbour cell ephemeris</w:t>
      </w:r>
      <w:r w:rsidR="000824A8">
        <w:rPr>
          <w:b/>
        </w:rPr>
        <w:t xml:space="preserve"> for measurements</w:t>
      </w:r>
      <w:r>
        <w:rPr>
          <w:b/>
        </w:rPr>
        <w:t xml:space="preserve"> is acquired in target cell when a handover is performed. </w:t>
      </w:r>
      <w:r w:rsidR="000824A8">
        <w:rPr>
          <w:b/>
        </w:rPr>
        <w:t>Reading broadcasted SIB or dedicated signaling can be considered</w:t>
      </w:r>
      <w:r w:rsidR="00B25D3B">
        <w:rPr>
          <w:b/>
        </w:rPr>
        <w:t>.</w:t>
      </w:r>
    </w:p>
    <w:p w14:paraId="13EF2C1A" w14:textId="78ED0C36" w:rsidR="0018139B" w:rsidRDefault="0018139B" w:rsidP="0018139B">
      <w:pPr>
        <w:pStyle w:val="Heading2"/>
      </w:pPr>
      <w:r>
        <w:t>Neighbour cell measurements</w:t>
      </w:r>
      <w:r w:rsidR="002F5304">
        <w:t xml:space="preserve"> triggering</w:t>
      </w:r>
    </w:p>
    <w:p w14:paraId="621AFB56" w14:textId="5AB70B9E" w:rsidR="00016031" w:rsidRDefault="00016031" w:rsidP="0018139B">
      <w:pPr>
        <w:rPr>
          <w:lang w:eastAsia="en-US"/>
        </w:rPr>
      </w:pPr>
      <w:r>
        <w:rPr>
          <w:lang w:eastAsia="en-US"/>
        </w:rPr>
        <w:t xml:space="preserve">While it is clear that neighbour cell measurement enhancements shall be supported for NB-IoT, whether it is supported for eMTC is still an open issue. </w:t>
      </w:r>
      <w:r w:rsidR="002F5304">
        <w:rPr>
          <w:lang w:eastAsia="en-US"/>
        </w:rPr>
        <w:t xml:space="preserve">In RAN2#121 </w:t>
      </w:r>
      <w:r w:rsidR="008C7C67">
        <w:rPr>
          <w:lang w:eastAsia="en-US"/>
        </w:rPr>
        <w:t>the issue was further discussed without a conclusion</w:t>
      </w:r>
      <w:r w:rsidR="00ED4FE8">
        <w:rPr>
          <w:lang w:eastAsia="en-US"/>
        </w:rPr>
        <w:t xml:space="preserve"> [</w:t>
      </w:r>
      <w:r w:rsidR="001F4157">
        <w:rPr>
          <w:lang w:eastAsia="en-US"/>
        </w:rPr>
        <w:t>4</w:t>
      </w:r>
      <w:r w:rsidR="00ED4FE8">
        <w:rPr>
          <w:lang w:eastAsia="en-US"/>
        </w:rPr>
        <w:t>]</w:t>
      </w:r>
      <w:r w:rsidR="008C7C67">
        <w:rPr>
          <w:lang w:eastAsia="en-US"/>
        </w:rPr>
        <w:t>.</w:t>
      </w:r>
      <w:r w:rsidR="002F5304">
        <w:rPr>
          <w:lang w:eastAsia="en-US"/>
        </w:rPr>
        <w:t xml:space="preserve"> </w:t>
      </w:r>
      <w:r w:rsidR="004E236C">
        <w:rPr>
          <w:lang w:eastAsia="en-US"/>
        </w:rPr>
        <w:t xml:space="preserve">In the </w:t>
      </w:r>
      <w:r w:rsidR="004E236C" w:rsidRPr="00D32165">
        <w:rPr>
          <w:lang w:eastAsia="en-US"/>
        </w:rPr>
        <w:t>table</w:t>
      </w:r>
      <w:r w:rsidR="00D32165" w:rsidRPr="00D32165">
        <w:rPr>
          <w:lang w:eastAsia="en-US"/>
        </w:rPr>
        <w:t xml:space="preserve"> 1</w:t>
      </w:r>
      <w:r w:rsidR="004E236C">
        <w:rPr>
          <w:lang w:eastAsia="en-US"/>
        </w:rPr>
        <w:t xml:space="preserve"> below, we consider the arguments for and against introducing the measurements regardless of whether this is considered to be supported by the wording</w:t>
      </w:r>
      <w:r w:rsidR="00600A62">
        <w:rPr>
          <w:lang w:eastAsia="en-US"/>
        </w:rPr>
        <w:t xml:space="preserve"> in</w:t>
      </w:r>
      <w:r w:rsidR="004E236C">
        <w:rPr>
          <w:lang w:eastAsia="en-US"/>
        </w:rPr>
        <w:t xml:space="preserve"> the WID. </w:t>
      </w:r>
    </w:p>
    <w:p w14:paraId="3ACBF3AD" w14:textId="3361C444" w:rsidR="00D32165" w:rsidRPr="00952D55" w:rsidRDefault="00D32165" w:rsidP="00952D55">
      <w:pPr>
        <w:pStyle w:val="Caption"/>
        <w:keepNext/>
        <w:spacing w:after="120"/>
        <w:rPr>
          <w:b/>
          <w:i w:val="0"/>
          <w:color w:val="auto"/>
        </w:rPr>
      </w:pPr>
      <w:r w:rsidRPr="00952D55">
        <w:rPr>
          <w:b/>
          <w:i w:val="0"/>
          <w:color w:val="auto"/>
        </w:rPr>
        <w:t xml:space="preserve">Table </w:t>
      </w:r>
      <w:r w:rsidRPr="00952D55">
        <w:rPr>
          <w:b/>
          <w:i w:val="0"/>
          <w:color w:val="auto"/>
        </w:rPr>
        <w:fldChar w:fldCharType="begin"/>
      </w:r>
      <w:r w:rsidRPr="00952D55">
        <w:rPr>
          <w:b/>
          <w:i w:val="0"/>
          <w:color w:val="auto"/>
        </w:rPr>
        <w:instrText xml:space="preserve"> SEQ Table \* ARABIC </w:instrText>
      </w:r>
      <w:r w:rsidRPr="00952D55">
        <w:rPr>
          <w:b/>
          <w:i w:val="0"/>
          <w:color w:val="auto"/>
        </w:rPr>
        <w:fldChar w:fldCharType="separate"/>
      </w:r>
      <w:r w:rsidRPr="00952D55">
        <w:rPr>
          <w:b/>
          <w:i w:val="0"/>
          <w:noProof/>
          <w:color w:val="auto"/>
        </w:rPr>
        <w:t>1</w:t>
      </w:r>
      <w:r w:rsidRPr="00952D55">
        <w:rPr>
          <w:b/>
          <w:i w:val="0"/>
          <w:color w:val="auto"/>
        </w:rPr>
        <w:fldChar w:fldCharType="end"/>
      </w:r>
      <w:r w:rsidRPr="00952D55">
        <w:rPr>
          <w:b/>
          <w:i w:val="0"/>
          <w:color w:val="auto"/>
        </w:rPr>
        <w:t xml:space="preserve">. Pros and cons of measurements based on NTN-conditions. </w:t>
      </w:r>
    </w:p>
    <w:tbl>
      <w:tblPr>
        <w:tblStyle w:val="TableGrid"/>
        <w:tblW w:w="0" w:type="auto"/>
        <w:tblLook w:val="04A0" w:firstRow="1" w:lastRow="0" w:firstColumn="1" w:lastColumn="0" w:noHBand="0" w:noVBand="1"/>
      </w:tblPr>
      <w:tblGrid>
        <w:gridCol w:w="1413"/>
        <w:gridCol w:w="3118"/>
        <w:gridCol w:w="2692"/>
        <w:gridCol w:w="2408"/>
      </w:tblGrid>
      <w:tr w:rsidR="007304B2" w14:paraId="4EB70EC4" w14:textId="77777777" w:rsidTr="0041304C">
        <w:tc>
          <w:tcPr>
            <w:tcW w:w="1413" w:type="dxa"/>
            <w:shd w:val="clear" w:color="auto" w:fill="E7E6E6" w:themeFill="background2"/>
          </w:tcPr>
          <w:p w14:paraId="17390EB6" w14:textId="77777777" w:rsidR="007304B2" w:rsidRPr="007304B2" w:rsidRDefault="007304B2" w:rsidP="0018139B">
            <w:pPr>
              <w:rPr>
                <w:sz w:val="18"/>
                <w:lang w:eastAsia="en-US"/>
              </w:rPr>
            </w:pPr>
          </w:p>
        </w:tc>
        <w:tc>
          <w:tcPr>
            <w:tcW w:w="3118" w:type="dxa"/>
            <w:shd w:val="clear" w:color="auto" w:fill="E7E6E6" w:themeFill="background2"/>
          </w:tcPr>
          <w:p w14:paraId="02F62B52" w14:textId="6F8BCF44" w:rsidR="007304B2" w:rsidRPr="004E236C" w:rsidRDefault="007304B2" w:rsidP="0018139B">
            <w:pPr>
              <w:rPr>
                <w:b/>
                <w:sz w:val="18"/>
                <w:lang w:eastAsia="en-US"/>
              </w:rPr>
            </w:pPr>
            <w:r w:rsidRPr="004E236C">
              <w:rPr>
                <w:b/>
                <w:sz w:val="18"/>
                <w:lang w:eastAsia="en-US"/>
              </w:rPr>
              <w:t>Reasons for introducing the enhancements</w:t>
            </w:r>
          </w:p>
        </w:tc>
        <w:tc>
          <w:tcPr>
            <w:tcW w:w="2692" w:type="dxa"/>
            <w:shd w:val="clear" w:color="auto" w:fill="E7E6E6" w:themeFill="background2"/>
          </w:tcPr>
          <w:p w14:paraId="2261A6C9" w14:textId="5D11B78F" w:rsidR="007304B2" w:rsidRPr="004E236C" w:rsidRDefault="004E236C" w:rsidP="0018139B">
            <w:pPr>
              <w:rPr>
                <w:b/>
                <w:sz w:val="18"/>
                <w:lang w:eastAsia="en-US"/>
              </w:rPr>
            </w:pPr>
            <w:r w:rsidRPr="004E236C">
              <w:rPr>
                <w:b/>
                <w:sz w:val="18"/>
                <w:lang w:eastAsia="en-US"/>
              </w:rPr>
              <w:t>Arguments for</w:t>
            </w:r>
          </w:p>
        </w:tc>
        <w:tc>
          <w:tcPr>
            <w:tcW w:w="2408" w:type="dxa"/>
            <w:shd w:val="clear" w:color="auto" w:fill="E7E6E6" w:themeFill="background2"/>
          </w:tcPr>
          <w:p w14:paraId="38E89C0A" w14:textId="25D5E179" w:rsidR="007304B2" w:rsidRPr="004E236C" w:rsidRDefault="004E236C" w:rsidP="0018139B">
            <w:pPr>
              <w:rPr>
                <w:b/>
                <w:sz w:val="18"/>
                <w:lang w:eastAsia="en-US"/>
              </w:rPr>
            </w:pPr>
            <w:r w:rsidRPr="004E236C">
              <w:rPr>
                <w:b/>
                <w:sz w:val="18"/>
                <w:lang w:eastAsia="en-US"/>
              </w:rPr>
              <w:t>Arguments against</w:t>
            </w:r>
          </w:p>
        </w:tc>
      </w:tr>
      <w:tr w:rsidR="007304B2" w14:paraId="74FFF57C" w14:textId="77777777" w:rsidTr="0041304C">
        <w:tc>
          <w:tcPr>
            <w:tcW w:w="1413" w:type="dxa"/>
            <w:shd w:val="clear" w:color="auto" w:fill="DEEAF6" w:themeFill="accent1" w:themeFillTint="33"/>
          </w:tcPr>
          <w:p w14:paraId="5FBE4B98" w14:textId="06705B9A" w:rsidR="007304B2" w:rsidRPr="004E236C" w:rsidRDefault="007304B2" w:rsidP="0018139B">
            <w:pPr>
              <w:rPr>
                <w:b/>
                <w:sz w:val="18"/>
                <w:lang w:eastAsia="en-US"/>
              </w:rPr>
            </w:pPr>
            <w:r w:rsidRPr="004E236C">
              <w:rPr>
                <w:b/>
                <w:sz w:val="18"/>
                <w:lang w:eastAsia="en-US"/>
              </w:rPr>
              <w:lastRenderedPageBreak/>
              <w:t>NB-IoT</w:t>
            </w:r>
          </w:p>
        </w:tc>
        <w:tc>
          <w:tcPr>
            <w:tcW w:w="3118" w:type="dxa"/>
          </w:tcPr>
          <w:p w14:paraId="2266F09E" w14:textId="350951ED" w:rsidR="007304B2" w:rsidRPr="007304B2" w:rsidRDefault="007304B2" w:rsidP="0018139B">
            <w:pPr>
              <w:rPr>
                <w:sz w:val="18"/>
                <w:lang w:eastAsia="en-US"/>
              </w:rPr>
            </w:pPr>
            <w:r w:rsidRPr="007304B2">
              <w:rPr>
                <w:sz w:val="18"/>
                <w:lang w:eastAsia="en-US"/>
              </w:rPr>
              <w:t>Triggering neighbour cell measurements when needed in non-terrestrial network</w:t>
            </w:r>
            <w:r>
              <w:rPr>
                <w:sz w:val="18"/>
                <w:lang w:eastAsia="en-US"/>
              </w:rPr>
              <w:t xml:space="preserve"> to make RLF-based mobility more efficient</w:t>
            </w:r>
          </w:p>
        </w:tc>
        <w:tc>
          <w:tcPr>
            <w:tcW w:w="2692" w:type="dxa"/>
          </w:tcPr>
          <w:p w14:paraId="5E488B72" w14:textId="5D1D3ADD" w:rsidR="007304B2" w:rsidRPr="007304B2" w:rsidRDefault="007304B2" w:rsidP="0018139B">
            <w:pPr>
              <w:rPr>
                <w:sz w:val="18"/>
                <w:lang w:eastAsia="en-US"/>
              </w:rPr>
            </w:pPr>
            <w:r w:rsidRPr="007304B2">
              <w:rPr>
                <w:sz w:val="18"/>
                <w:lang w:eastAsia="en-US"/>
              </w:rPr>
              <w:t>- The current neighbour cell measurement criteria is unlikely to function well</w:t>
            </w:r>
            <w:r>
              <w:rPr>
                <w:sz w:val="18"/>
                <w:lang w:eastAsia="en-US"/>
              </w:rPr>
              <w:t xml:space="preserve"> in a non-terrestrial network</w:t>
            </w:r>
          </w:p>
          <w:p w14:paraId="466F4A29" w14:textId="0112F699" w:rsidR="007304B2" w:rsidRPr="007304B2" w:rsidRDefault="007304B2" w:rsidP="0018139B">
            <w:pPr>
              <w:rPr>
                <w:sz w:val="18"/>
                <w:lang w:eastAsia="en-US"/>
              </w:rPr>
            </w:pPr>
            <w:r>
              <w:rPr>
                <w:sz w:val="18"/>
                <w:lang w:eastAsia="en-US"/>
              </w:rPr>
              <w:t>- There are no</w:t>
            </w:r>
            <w:r w:rsidR="00600A62">
              <w:rPr>
                <w:sz w:val="18"/>
                <w:lang w:eastAsia="en-US"/>
              </w:rPr>
              <w:t xml:space="preserve"> connected mode</w:t>
            </w:r>
            <w:r>
              <w:rPr>
                <w:sz w:val="18"/>
                <w:lang w:eastAsia="en-US"/>
              </w:rPr>
              <w:t xml:space="preserve"> neighbour cell measurements in NB-IoT NTN </w:t>
            </w:r>
          </w:p>
        </w:tc>
        <w:tc>
          <w:tcPr>
            <w:tcW w:w="2408" w:type="dxa"/>
          </w:tcPr>
          <w:p w14:paraId="5A5CA190" w14:textId="77777777" w:rsidR="007304B2" w:rsidRDefault="004E236C" w:rsidP="0018139B">
            <w:pPr>
              <w:rPr>
                <w:sz w:val="18"/>
                <w:lang w:eastAsia="en-US"/>
              </w:rPr>
            </w:pPr>
            <w:r>
              <w:rPr>
                <w:sz w:val="18"/>
                <w:lang w:eastAsia="en-US"/>
              </w:rPr>
              <w:t>- With traffic model of small packets it is likely that mobility may not be needed in most cases</w:t>
            </w:r>
          </w:p>
          <w:p w14:paraId="6229B48A" w14:textId="14D83A12" w:rsidR="004E236C" w:rsidRPr="007304B2" w:rsidRDefault="004E236C" w:rsidP="0018139B">
            <w:pPr>
              <w:rPr>
                <w:sz w:val="18"/>
                <w:lang w:eastAsia="en-US"/>
              </w:rPr>
            </w:pPr>
            <w:r>
              <w:rPr>
                <w:sz w:val="18"/>
                <w:lang w:eastAsia="en-US"/>
              </w:rPr>
              <w:t>- Neighbour cell measurements may take a lot of time</w:t>
            </w:r>
          </w:p>
        </w:tc>
      </w:tr>
      <w:tr w:rsidR="007304B2" w14:paraId="28E665BD" w14:textId="77777777" w:rsidTr="0041304C">
        <w:tc>
          <w:tcPr>
            <w:tcW w:w="1413" w:type="dxa"/>
            <w:shd w:val="clear" w:color="auto" w:fill="DEEAF6" w:themeFill="accent1" w:themeFillTint="33"/>
          </w:tcPr>
          <w:p w14:paraId="1A7990B5" w14:textId="5A5AFDCD" w:rsidR="007304B2" w:rsidRPr="004E236C" w:rsidRDefault="007304B2" w:rsidP="0018139B">
            <w:pPr>
              <w:rPr>
                <w:b/>
                <w:sz w:val="18"/>
                <w:lang w:eastAsia="en-US"/>
              </w:rPr>
            </w:pPr>
            <w:r w:rsidRPr="004E236C">
              <w:rPr>
                <w:b/>
                <w:sz w:val="18"/>
                <w:lang w:eastAsia="en-US"/>
              </w:rPr>
              <w:t>eMTC</w:t>
            </w:r>
          </w:p>
        </w:tc>
        <w:tc>
          <w:tcPr>
            <w:tcW w:w="3118" w:type="dxa"/>
          </w:tcPr>
          <w:p w14:paraId="44B13091" w14:textId="4C022AD6" w:rsidR="007304B2" w:rsidRPr="007304B2" w:rsidRDefault="007304B2" w:rsidP="0018139B">
            <w:pPr>
              <w:rPr>
                <w:sz w:val="18"/>
                <w:lang w:eastAsia="en-US"/>
              </w:rPr>
            </w:pPr>
            <w:r>
              <w:rPr>
                <w:sz w:val="18"/>
                <w:lang w:eastAsia="en-US"/>
              </w:rPr>
              <w:t>Power savings as UE does not have to perform neighbour cell measurements</w:t>
            </w:r>
            <w:r w:rsidR="00457432">
              <w:rPr>
                <w:sz w:val="18"/>
                <w:lang w:eastAsia="en-US"/>
              </w:rPr>
              <w:t xml:space="preserve"> in some cases</w:t>
            </w:r>
            <w:r w:rsidR="00D552ED">
              <w:rPr>
                <w:sz w:val="18"/>
                <w:lang w:eastAsia="en-US"/>
              </w:rPr>
              <w:t xml:space="preserve">. </w:t>
            </w:r>
            <w:r w:rsidR="00D552ED" w:rsidRPr="008961F0">
              <w:rPr>
                <w:color w:val="FF0000"/>
                <w:sz w:val="18"/>
                <w:lang w:eastAsia="en-US"/>
              </w:rPr>
              <w:t xml:space="preserve">Compared </w:t>
            </w:r>
            <w:r w:rsidR="0015006E" w:rsidRPr="008961F0">
              <w:rPr>
                <w:color w:val="FF0000"/>
                <w:sz w:val="18"/>
                <w:lang w:eastAsia="en-US"/>
              </w:rPr>
              <w:t xml:space="preserve">to Rel-17, which has no standard-supported neighbour cell measurements, this may bridge the gap to rel-18 with neighbour cell measurements. </w:t>
            </w:r>
          </w:p>
        </w:tc>
        <w:tc>
          <w:tcPr>
            <w:tcW w:w="2692" w:type="dxa"/>
          </w:tcPr>
          <w:p w14:paraId="6FB7FE9D" w14:textId="384C7E25" w:rsidR="007304B2" w:rsidRPr="007304B2" w:rsidRDefault="007304B2" w:rsidP="0018139B">
            <w:pPr>
              <w:rPr>
                <w:sz w:val="18"/>
                <w:lang w:eastAsia="en-US"/>
              </w:rPr>
            </w:pPr>
            <w:r>
              <w:rPr>
                <w:sz w:val="18"/>
                <w:lang w:eastAsia="en-US"/>
              </w:rPr>
              <w:t>- Triggering neighbour cell measurements</w:t>
            </w:r>
            <w:r w:rsidR="00600A62">
              <w:rPr>
                <w:sz w:val="18"/>
                <w:lang w:eastAsia="en-US"/>
              </w:rPr>
              <w:t xml:space="preserve"> with specific conditions</w:t>
            </w:r>
            <w:r w:rsidR="004E236C">
              <w:rPr>
                <w:sz w:val="18"/>
                <w:lang w:eastAsia="en-US"/>
              </w:rPr>
              <w:t xml:space="preserve"> can support energy savings</w:t>
            </w:r>
          </w:p>
        </w:tc>
        <w:tc>
          <w:tcPr>
            <w:tcW w:w="2408" w:type="dxa"/>
          </w:tcPr>
          <w:p w14:paraId="06B486AA" w14:textId="5B9AE31D" w:rsidR="007304B2" w:rsidRDefault="00457432" w:rsidP="0018139B">
            <w:pPr>
              <w:rPr>
                <w:sz w:val="18"/>
                <w:lang w:eastAsia="en-US"/>
              </w:rPr>
            </w:pPr>
            <w:r>
              <w:rPr>
                <w:sz w:val="18"/>
                <w:lang w:eastAsia="en-US"/>
              </w:rPr>
              <w:t xml:space="preserve">- </w:t>
            </w:r>
            <w:r w:rsidR="007304B2">
              <w:rPr>
                <w:sz w:val="18"/>
                <w:lang w:eastAsia="en-US"/>
              </w:rPr>
              <w:t>eMTC</w:t>
            </w:r>
            <w:r w:rsidR="00600A62">
              <w:rPr>
                <w:sz w:val="18"/>
                <w:lang w:eastAsia="en-US"/>
              </w:rPr>
              <w:t xml:space="preserve"> connected mode mobility</w:t>
            </w:r>
            <w:r w:rsidR="007304B2">
              <w:rPr>
                <w:sz w:val="18"/>
                <w:lang w:eastAsia="en-US"/>
              </w:rPr>
              <w:t xml:space="preserve"> is not based on RLF, but rather handovers </w:t>
            </w:r>
          </w:p>
          <w:p w14:paraId="5CA10916" w14:textId="2B1823DF" w:rsidR="007304B2" w:rsidRPr="007304B2" w:rsidRDefault="007304B2" w:rsidP="0018139B">
            <w:pPr>
              <w:rPr>
                <w:sz w:val="18"/>
                <w:lang w:eastAsia="en-US"/>
              </w:rPr>
            </w:pPr>
            <w:r>
              <w:rPr>
                <w:sz w:val="18"/>
                <w:lang w:eastAsia="en-US"/>
              </w:rPr>
              <w:t>- Connected mode measurements are configured dedicatedly, thus the network may only configure neighbour cell measurements when</w:t>
            </w:r>
            <w:r w:rsidR="0041304C">
              <w:rPr>
                <w:sz w:val="18"/>
                <w:lang w:eastAsia="en-US"/>
              </w:rPr>
              <w:t xml:space="preserve"> deemed</w:t>
            </w:r>
            <w:r>
              <w:rPr>
                <w:sz w:val="18"/>
                <w:lang w:eastAsia="en-US"/>
              </w:rPr>
              <w:t xml:space="preserve"> needed</w:t>
            </w:r>
          </w:p>
        </w:tc>
      </w:tr>
    </w:tbl>
    <w:p w14:paraId="4CC4248C" w14:textId="1BBAFA3C" w:rsidR="00016031" w:rsidRDefault="00016031" w:rsidP="0018139B">
      <w:pPr>
        <w:rPr>
          <w:lang w:eastAsia="en-US"/>
        </w:rPr>
      </w:pPr>
    </w:p>
    <w:p w14:paraId="083F6D5A" w14:textId="7016520A" w:rsidR="00D552ED" w:rsidRDefault="00D552ED" w:rsidP="0018139B">
      <w:pPr>
        <w:rPr>
          <w:lang w:eastAsia="en-US"/>
        </w:rPr>
      </w:pPr>
      <w:r>
        <w:rPr>
          <w:lang w:eastAsia="en-US"/>
        </w:rPr>
        <w:t xml:space="preserve">One further benefit of introducing the measurement triggering for eMTC is that the power saving of performing measurements can be reduced. This is especially important as neighbour cell measurements are not standard-supported in Rel-17. This means that the if neighbour cell measurements are introduced by acquiring neighbouring cell ephemeris for Rel-18, then there is a risk that the power consumption compared to Rel-17 will be a lot larger. </w:t>
      </w:r>
    </w:p>
    <w:p w14:paraId="3EE41884" w14:textId="40A490CC" w:rsidR="00EA7523" w:rsidRPr="00EA7523" w:rsidRDefault="00EA7523" w:rsidP="00EA7523">
      <w:pPr>
        <w:jc w:val="both"/>
        <w:rPr>
          <w:b/>
        </w:rPr>
      </w:pPr>
      <w:r>
        <w:rPr>
          <w:b/>
        </w:rPr>
        <w:t>Observati</w:t>
      </w:r>
      <w:r w:rsidR="00B25D3B">
        <w:rPr>
          <w:b/>
        </w:rPr>
        <w:t>on 2</w:t>
      </w:r>
      <w:r>
        <w:rPr>
          <w:b/>
        </w:rPr>
        <w:t xml:space="preserve">: </w:t>
      </w:r>
      <w:r w:rsidR="00CF1441">
        <w:rPr>
          <w:b/>
        </w:rPr>
        <w:t xml:space="preserve">Trigger-based neighbour cell measurements can bridge the increased power consumption in Rel-18 compared to Rel-17. </w:t>
      </w:r>
    </w:p>
    <w:p w14:paraId="4EF19292" w14:textId="715932D7" w:rsidR="00174398" w:rsidRPr="00534672" w:rsidRDefault="00174398" w:rsidP="00174398">
      <w:pPr>
        <w:jc w:val="both"/>
        <w:rPr>
          <w:b/>
        </w:rPr>
      </w:pPr>
      <w:r>
        <w:rPr>
          <w:b/>
        </w:rPr>
        <w:t xml:space="preserve">Proposal </w:t>
      </w:r>
      <w:r w:rsidR="00B25D3B">
        <w:rPr>
          <w:b/>
        </w:rPr>
        <w:t>5</w:t>
      </w:r>
      <w:r>
        <w:rPr>
          <w:b/>
        </w:rPr>
        <w:t>: Introduce the same measurement triggers as for NB-IoT for eMTC, but for power saving purposes.</w:t>
      </w:r>
    </w:p>
    <w:p w14:paraId="5CBFECA1" w14:textId="76D3D177" w:rsidR="00741328" w:rsidRDefault="0018139B" w:rsidP="0018139B">
      <w:pPr>
        <w:rPr>
          <w:lang w:val="en-GB" w:eastAsia="en-US"/>
        </w:rPr>
      </w:pPr>
      <w:r>
        <w:rPr>
          <w:lang w:val="en-GB" w:eastAsia="en-US"/>
        </w:rPr>
        <w:t>For a</w:t>
      </w:r>
      <w:r w:rsidR="00214906">
        <w:rPr>
          <w:lang w:val="en-GB" w:eastAsia="en-US"/>
        </w:rPr>
        <w:t>n</w:t>
      </w:r>
      <w:r>
        <w:rPr>
          <w:lang w:val="en-GB" w:eastAsia="en-US"/>
        </w:rPr>
        <w:t xml:space="preserve"> NB-IoT UE to perfor</w:t>
      </w:r>
      <w:r w:rsidR="003E06FD">
        <w:rPr>
          <w:lang w:val="en-GB" w:eastAsia="en-US"/>
        </w:rPr>
        <w:t>m neighbour cell measurements</w:t>
      </w:r>
      <w:r>
        <w:rPr>
          <w:lang w:val="en-GB" w:eastAsia="en-US"/>
        </w:rPr>
        <w:t xml:space="preserve"> will be a rather time-consuming process involving performing lengthy measurements that in some cases may take a very long time</w:t>
      </w:r>
      <w:r w:rsidR="00D24051">
        <w:rPr>
          <w:lang w:val="en-GB" w:eastAsia="en-US"/>
        </w:rPr>
        <w:t>. The UE may also have to</w:t>
      </w:r>
      <w:r>
        <w:rPr>
          <w:lang w:val="en-GB" w:eastAsia="en-US"/>
        </w:rPr>
        <w:t xml:space="preserve"> acquir</w:t>
      </w:r>
      <w:r w:rsidR="00D24051">
        <w:rPr>
          <w:lang w:val="en-GB" w:eastAsia="en-US"/>
        </w:rPr>
        <w:t>e</w:t>
      </w:r>
      <w:r>
        <w:rPr>
          <w:lang w:val="en-GB" w:eastAsia="en-US"/>
        </w:rPr>
        <w:t xml:space="preserve"> neighbour cell ephemeris and synchroniz</w:t>
      </w:r>
      <w:r w:rsidR="00D24051">
        <w:rPr>
          <w:lang w:val="en-GB" w:eastAsia="en-US"/>
        </w:rPr>
        <w:t>e</w:t>
      </w:r>
      <w:r>
        <w:rPr>
          <w:lang w:val="en-GB" w:eastAsia="en-US"/>
        </w:rPr>
        <w:t xml:space="preserve"> to the moving neighbouring cells to measure them. </w:t>
      </w:r>
      <w:r w:rsidR="003E06FD">
        <w:rPr>
          <w:lang w:val="en-GB" w:eastAsia="en-US"/>
        </w:rPr>
        <w:t>In many use cases, performing these measurements will not be necessary as the most common IoT use case is</w:t>
      </w:r>
      <w:r w:rsidR="00D24051">
        <w:rPr>
          <w:lang w:val="en-GB" w:eastAsia="en-US"/>
        </w:rPr>
        <w:t xml:space="preserve"> to</w:t>
      </w:r>
      <w:r w:rsidR="003E06FD">
        <w:rPr>
          <w:lang w:val="en-GB" w:eastAsia="en-US"/>
        </w:rPr>
        <w:t xml:space="preserve"> deliver very small packets. Thus to enable power savings, it should be possible for device</w:t>
      </w:r>
      <w:r w:rsidR="00741328">
        <w:rPr>
          <w:lang w:val="en-GB" w:eastAsia="en-US"/>
        </w:rPr>
        <w:t>s to not perform these actions in an NTN network even if the conditions as</w:t>
      </w:r>
      <w:r w:rsidR="00D33CDF">
        <w:rPr>
          <w:lang w:val="en-GB" w:eastAsia="en-US"/>
        </w:rPr>
        <w:t xml:space="preserve"> RAN2</w:t>
      </w:r>
      <w:r w:rsidR="00741328">
        <w:rPr>
          <w:lang w:val="en-GB" w:eastAsia="en-US"/>
        </w:rPr>
        <w:t xml:space="preserve"> are currently</w:t>
      </w:r>
      <w:r w:rsidR="00D33CDF">
        <w:rPr>
          <w:lang w:val="en-GB" w:eastAsia="en-US"/>
        </w:rPr>
        <w:t xml:space="preserve"> discussing</w:t>
      </w:r>
      <w:r w:rsidR="00741328">
        <w:rPr>
          <w:lang w:val="en-GB" w:eastAsia="en-US"/>
        </w:rPr>
        <w:t xml:space="preserve"> are fulfilled. Thus we propose that RAN2 should consider other conditions for not considering to perform neighbour cell measurements. </w:t>
      </w:r>
    </w:p>
    <w:p w14:paraId="2201B3A7" w14:textId="5CC9C7A6" w:rsidR="00216998" w:rsidRPr="00534672" w:rsidRDefault="002772A6" w:rsidP="00534672">
      <w:pPr>
        <w:jc w:val="both"/>
        <w:rPr>
          <w:b/>
        </w:rPr>
      </w:pPr>
      <w:r>
        <w:rPr>
          <w:b/>
        </w:rPr>
        <w:t xml:space="preserve">Proposal </w:t>
      </w:r>
      <w:r w:rsidR="00B25D3B">
        <w:rPr>
          <w:b/>
        </w:rPr>
        <w:t>6</w:t>
      </w:r>
      <w:r>
        <w:rPr>
          <w:b/>
        </w:rPr>
        <w:t>:</w:t>
      </w:r>
      <w:r w:rsidR="00534672">
        <w:rPr>
          <w:b/>
        </w:rPr>
        <w:t xml:space="preserve"> RAN2 to consider </w:t>
      </w:r>
      <w:r w:rsidR="00722548">
        <w:rPr>
          <w:b/>
        </w:rPr>
        <w:t>use case-based</w:t>
      </w:r>
      <w:r w:rsidR="002334A8">
        <w:rPr>
          <w:b/>
        </w:rPr>
        <w:t xml:space="preserve"> / traffic-based</w:t>
      </w:r>
      <w:r w:rsidR="00534672">
        <w:rPr>
          <w:b/>
        </w:rPr>
        <w:t xml:space="preserve"> conditions for not performing neighbour cell measurements.</w:t>
      </w:r>
    </w:p>
    <w:p w14:paraId="2A665769" w14:textId="41B4B8DD" w:rsidR="007C6BBA" w:rsidRDefault="007C6BBA">
      <w:pPr>
        <w:pStyle w:val="Heading2"/>
      </w:pPr>
      <w:r>
        <w:t>RLF procedures</w:t>
      </w:r>
    </w:p>
    <w:p w14:paraId="55536DFE" w14:textId="3F94277C" w:rsidR="007C6BBA" w:rsidRDefault="007C6BBA" w:rsidP="007C6BBA">
      <w:pPr>
        <w:pStyle w:val="PatentBody"/>
        <w:numPr>
          <w:ilvl w:val="0"/>
          <w:numId w:val="0"/>
        </w:numPr>
        <w:spacing w:after="180" w:line="240" w:lineRule="auto"/>
        <w:jc w:val="both"/>
        <w:rPr>
          <w:sz w:val="20"/>
        </w:rPr>
      </w:pPr>
      <w:r>
        <w:rPr>
          <w:sz w:val="20"/>
        </w:rPr>
        <w:t xml:space="preserve">The main mechanism for performing connected mode mobility for NB-IoT is through RLF and subsequently the RRC re-establishment procedures. The RRC re-establishment procedures allow for a UE to re-establish its connection to a cell, that may be the same cell or a new cell. During the re-establishment procedure, if the an eNB has the UE context, then the UE does not need to be reconfigured. If an eNB does not have the UE context </w:t>
      </w:r>
      <w:r w:rsidR="00980130">
        <w:rPr>
          <w:sz w:val="20"/>
        </w:rPr>
        <w:t>t</w:t>
      </w:r>
      <w:r>
        <w:rPr>
          <w:sz w:val="20"/>
        </w:rPr>
        <w:t>hen there are two alternatives, either the eNB replies with a</w:t>
      </w:r>
      <w:r w:rsidR="00980130">
        <w:rPr>
          <w:sz w:val="20"/>
        </w:rPr>
        <w:t>n</w:t>
      </w:r>
      <w:r>
        <w:rPr>
          <w:sz w:val="20"/>
        </w:rPr>
        <w:t xml:space="preserve"> </w:t>
      </w:r>
      <w:r w:rsidRPr="00980130">
        <w:rPr>
          <w:i/>
          <w:sz w:val="20"/>
        </w:rPr>
        <w:t>RRCSetup</w:t>
      </w:r>
      <w:r>
        <w:rPr>
          <w:sz w:val="20"/>
        </w:rPr>
        <w:t xml:space="preserve"> or the eNB may request the UE context from the eNB that the</w:t>
      </w:r>
      <w:r w:rsidR="004E22ED">
        <w:rPr>
          <w:sz w:val="20"/>
        </w:rPr>
        <w:t xml:space="preserve"> UE was connected to in the previously</w:t>
      </w:r>
      <w:r>
        <w:rPr>
          <w:sz w:val="20"/>
        </w:rPr>
        <w:t xml:space="preserve">. </w:t>
      </w:r>
      <w:r w:rsidR="001226A2">
        <w:rPr>
          <w:sz w:val="20"/>
        </w:rPr>
        <w:t xml:space="preserve">This procedure will be greatly useful for the RLF procedures in an NB-IoT Non-Terrestrial Network. </w:t>
      </w:r>
      <w:r>
        <w:rPr>
          <w:sz w:val="20"/>
        </w:rPr>
        <w:t xml:space="preserve"> All together this can be seen in Figure 1.</w:t>
      </w:r>
    </w:p>
    <w:p w14:paraId="7CAF8043" w14:textId="77777777" w:rsidR="007C6BBA" w:rsidRDefault="007C6BBA" w:rsidP="007C6BBA">
      <w:pPr>
        <w:pStyle w:val="PatentBody"/>
        <w:numPr>
          <w:ilvl w:val="0"/>
          <w:numId w:val="0"/>
        </w:numPr>
        <w:spacing w:after="180" w:line="240" w:lineRule="auto"/>
        <w:jc w:val="both"/>
        <w:rPr>
          <w:sz w:val="20"/>
        </w:rPr>
      </w:pPr>
    </w:p>
    <w:p w14:paraId="73D8861E" w14:textId="77777777" w:rsidR="007C6BBA" w:rsidRDefault="007C6BBA" w:rsidP="007C6BBA">
      <w:pPr>
        <w:pStyle w:val="PatentBody"/>
        <w:keepNext/>
        <w:numPr>
          <w:ilvl w:val="0"/>
          <w:numId w:val="0"/>
        </w:numPr>
        <w:spacing w:after="180" w:line="240" w:lineRule="auto"/>
        <w:jc w:val="center"/>
      </w:pPr>
      <w:r>
        <w:rPr>
          <w:noProof/>
          <w:sz w:val="20"/>
          <w:lang w:eastAsia="zh-CN"/>
        </w:rPr>
        <w:lastRenderedPageBreak/>
        <w:drawing>
          <wp:inline distT="0" distB="0" distL="0" distR="0" wp14:anchorId="6BC73069" wp14:editId="53990E13">
            <wp:extent cx="4924425" cy="4333875"/>
            <wp:effectExtent l="0" t="0" r="9525" b="9525"/>
            <wp:docPr id="1" name="Picture 1" descr="Re-establishmen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establishment proced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4333875"/>
                    </a:xfrm>
                    <a:prstGeom prst="rect">
                      <a:avLst/>
                    </a:prstGeom>
                    <a:noFill/>
                    <a:ln>
                      <a:noFill/>
                    </a:ln>
                  </pic:spPr>
                </pic:pic>
              </a:graphicData>
            </a:graphic>
          </wp:inline>
        </w:drawing>
      </w:r>
    </w:p>
    <w:p w14:paraId="549E2FCC" w14:textId="77777777" w:rsidR="007C6BBA" w:rsidRDefault="007C6BBA" w:rsidP="007C6BBA">
      <w:pPr>
        <w:pStyle w:val="Caption"/>
        <w:jc w:val="center"/>
        <w:rPr>
          <w:b/>
          <w:i w:val="0"/>
          <w:color w:val="000000" w:themeColor="text1"/>
          <w:sz w:val="20"/>
        </w:rPr>
      </w:pPr>
      <w:r>
        <w:rPr>
          <w:b/>
          <w:i w:val="0"/>
          <w:color w:val="000000" w:themeColor="text1"/>
        </w:rPr>
        <w:t xml:space="preserve">Figure </w:t>
      </w:r>
      <w:r>
        <w:rPr>
          <w:b/>
          <w:i w:val="0"/>
          <w:color w:val="000000" w:themeColor="text1"/>
        </w:rPr>
        <w:fldChar w:fldCharType="begin"/>
      </w:r>
      <w:r>
        <w:rPr>
          <w:b/>
          <w:i w:val="0"/>
          <w:color w:val="000000" w:themeColor="text1"/>
        </w:rPr>
        <w:instrText xml:space="preserve"> SEQ Figure \* ARABIC </w:instrText>
      </w:r>
      <w:r>
        <w:rPr>
          <w:b/>
          <w:i w:val="0"/>
          <w:color w:val="000000" w:themeColor="text1"/>
        </w:rPr>
        <w:fldChar w:fldCharType="separate"/>
      </w:r>
      <w:r>
        <w:rPr>
          <w:b/>
          <w:i w:val="0"/>
          <w:noProof/>
          <w:color w:val="000000" w:themeColor="text1"/>
        </w:rPr>
        <w:t>1</w:t>
      </w:r>
      <w:r>
        <w:rPr>
          <w:b/>
          <w:i w:val="0"/>
          <w:color w:val="000000" w:themeColor="text1"/>
        </w:rPr>
        <w:fldChar w:fldCharType="end"/>
      </w:r>
      <w:r>
        <w:rPr>
          <w:b/>
          <w:i w:val="0"/>
          <w:color w:val="000000" w:themeColor="text1"/>
        </w:rPr>
        <w:t xml:space="preserve">. RRC Re-establishment procedures. </w:t>
      </w:r>
    </w:p>
    <w:p w14:paraId="37A1EC39" w14:textId="1CC38E16" w:rsidR="007C6BBA" w:rsidRDefault="00980130" w:rsidP="007C6BBA">
      <w:pPr>
        <w:pStyle w:val="PatentBody"/>
        <w:numPr>
          <w:ilvl w:val="0"/>
          <w:numId w:val="0"/>
        </w:numPr>
        <w:spacing w:after="180" w:line="240" w:lineRule="auto"/>
        <w:jc w:val="both"/>
        <w:rPr>
          <w:sz w:val="20"/>
        </w:rPr>
      </w:pPr>
      <w:r>
        <w:rPr>
          <w:sz w:val="20"/>
        </w:rPr>
        <w:t>The enhancements that are currently being discussed with regards to the neighbour cell measurements</w:t>
      </w:r>
      <w:r w:rsidR="00D40BB8">
        <w:rPr>
          <w:sz w:val="20"/>
        </w:rPr>
        <w:t xml:space="preserve"> </w:t>
      </w:r>
      <w:r w:rsidR="001F4157">
        <w:rPr>
          <w:sz w:val="20"/>
        </w:rPr>
        <w:t>are</w:t>
      </w:r>
      <w:r w:rsidR="00D40BB8">
        <w:rPr>
          <w:sz w:val="20"/>
        </w:rPr>
        <w:t xml:space="preserve"> targeted at improving the RLF procedures in </w:t>
      </w:r>
      <w:r>
        <w:rPr>
          <w:sz w:val="20"/>
        </w:rPr>
        <w:t>NB-</w:t>
      </w:r>
      <w:r w:rsidR="00D40BB8">
        <w:rPr>
          <w:sz w:val="20"/>
        </w:rPr>
        <w:t xml:space="preserve">IoT NTN. In order to improve these procedures, we think that the handling of the UE context </w:t>
      </w:r>
      <w:r w:rsidR="00EA63FC">
        <w:rPr>
          <w:sz w:val="20"/>
        </w:rPr>
        <w:t xml:space="preserve">can </w:t>
      </w:r>
      <w:r w:rsidR="00D40BB8">
        <w:rPr>
          <w:sz w:val="20"/>
        </w:rPr>
        <w:t>also be improved. On</w:t>
      </w:r>
      <w:r w:rsidR="00EA63FC">
        <w:rPr>
          <w:sz w:val="20"/>
        </w:rPr>
        <w:t>e</w:t>
      </w:r>
      <w:r w:rsidR="00D40BB8">
        <w:rPr>
          <w:sz w:val="20"/>
        </w:rPr>
        <w:t xml:space="preserve"> such enhancement is that the UE Context is sent in advance from an eNB that is aware of the potential future eNBs that a UE will connect to after an RLF is triggered. </w:t>
      </w:r>
      <w:r w:rsidR="00EE6E39">
        <w:rPr>
          <w:sz w:val="20"/>
        </w:rPr>
        <w:t>Thus we propose that RAN2 discuss how to improve NB-IoT RLF procedures by sending the UE context in advance:</w:t>
      </w:r>
    </w:p>
    <w:p w14:paraId="4D24BDC4" w14:textId="7D145D0E" w:rsidR="007C6BBA" w:rsidRPr="001E2E76" w:rsidRDefault="00EE6E39" w:rsidP="001E2E76">
      <w:pPr>
        <w:jc w:val="both"/>
        <w:rPr>
          <w:b/>
        </w:rPr>
      </w:pPr>
      <w:r>
        <w:rPr>
          <w:b/>
        </w:rPr>
        <w:t xml:space="preserve">Proposal </w:t>
      </w:r>
      <w:r w:rsidR="00B25D3B">
        <w:rPr>
          <w:b/>
        </w:rPr>
        <w:t>7</w:t>
      </w:r>
      <w:r>
        <w:rPr>
          <w:b/>
        </w:rPr>
        <w:t>: RAN2 to discuss how to improve NB-IoT RLF procedures by sending UE context in advance.</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09DB4054" w14:textId="77777777" w:rsidR="0000598C" w:rsidRPr="00870576" w:rsidRDefault="0000598C" w:rsidP="0000598C">
      <w:pPr>
        <w:pStyle w:val="PatentBody"/>
        <w:numPr>
          <w:ilvl w:val="0"/>
          <w:numId w:val="0"/>
        </w:numPr>
        <w:spacing w:after="180" w:line="240" w:lineRule="auto"/>
        <w:jc w:val="both"/>
        <w:rPr>
          <w:b/>
          <w:sz w:val="20"/>
          <w:lang w:val="en-US"/>
        </w:rPr>
      </w:pPr>
      <w:r w:rsidRPr="00870576">
        <w:rPr>
          <w:b/>
          <w:sz w:val="20"/>
          <w:lang w:val="en-US"/>
        </w:rPr>
        <w:t xml:space="preserve">Observation 1: A validity duration per satellite/ephemeris element may bring considerable complexity for an IoT device. </w:t>
      </w:r>
    </w:p>
    <w:p w14:paraId="4A0A0643" w14:textId="77777777" w:rsidR="0000598C" w:rsidRPr="00EA7523" w:rsidRDefault="0000598C" w:rsidP="0000598C">
      <w:pPr>
        <w:jc w:val="both"/>
        <w:rPr>
          <w:b/>
        </w:rPr>
      </w:pPr>
      <w:r>
        <w:rPr>
          <w:b/>
        </w:rPr>
        <w:t xml:space="preserve">Observation 2: Trigger-based neighbour cell measurements can bridge the increased power consumption in Rel-18 compared to Rel-17. </w:t>
      </w:r>
    </w:p>
    <w:p w14:paraId="119F1B5C" w14:textId="77777777" w:rsidR="007217A0" w:rsidRPr="00F97E01" w:rsidRDefault="007217A0" w:rsidP="00572337">
      <w:pPr>
        <w:spacing w:after="60"/>
        <w:rPr>
          <w:lang w:eastAsia="ko-KR"/>
        </w:rPr>
      </w:pPr>
      <w:bookmarkStart w:id="0" w:name="_GoBack"/>
      <w:bookmarkEnd w:id="0"/>
    </w:p>
    <w:p w14:paraId="2FC593B9" w14:textId="77777777" w:rsidR="0000598C" w:rsidRPr="00534672" w:rsidRDefault="0000598C" w:rsidP="0000598C">
      <w:pPr>
        <w:jc w:val="both"/>
        <w:rPr>
          <w:b/>
        </w:rPr>
      </w:pPr>
      <w:r>
        <w:rPr>
          <w:b/>
        </w:rPr>
        <w:t>Proposal 1: Introduce new SIB to broadcast neighbour cell/satellite information.</w:t>
      </w:r>
    </w:p>
    <w:p w14:paraId="12A0044A" w14:textId="77777777" w:rsidR="0000598C" w:rsidRDefault="0000598C" w:rsidP="0000598C">
      <w:pPr>
        <w:jc w:val="both"/>
        <w:rPr>
          <w:b/>
        </w:rPr>
      </w:pPr>
      <w:r>
        <w:rPr>
          <w:b/>
        </w:rPr>
        <w:t xml:space="preserve">Proposal 2: RAN2 to discuss details on how validity duration for neighbouring cells for the purpose of measuring shall function, given IoT limitations. </w:t>
      </w:r>
    </w:p>
    <w:p w14:paraId="1324E8B6" w14:textId="77777777" w:rsidR="0000598C" w:rsidRDefault="0000598C" w:rsidP="0000598C">
      <w:pPr>
        <w:spacing w:after="60"/>
        <w:jc w:val="both"/>
        <w:rPr>
          <w:b/>
        </w:rPr>
      </w:pPr>
      <w:r>
        <w:rPr>
          <w:b/>
        </w:rPr>
        <w:t xml:space="preserve">Proposal 3: RAN2 consider different options on validity duration for neighbouring cells: </w:t>
      </w:r>
    </w:p>
    <w:p w14:paraId="0A004EDC" w14:textId="77777777" w:rsidR="0000598C" w:rsidRDefault="0000598C" w:rsidP="0000598C">
      <w:pPr>
        <w:spacing w:after="60"/>
        <w:jc w:val="both"/>
        <w:rPr>
          <w:b/>
        </w:rPr>
      </w:pPr>
      <w:r>
        <w:rPr>
          <w:b/>
        </w:rPr>
        <w:tab/>
      </w:r>
      <w:r>
        <w:rPr>
          <w:b/>
        </w:rPr>
        <w:tab/>
      </w:r>
      <w:r>
        <w:rPr>
          <w:b/>
        </w:rPr>
        <w:tab/>
      </w:r>
      <w:r>
        <w:rPr>
          <w:b/>
        </w:rPr>
        <w:tab/>
        <w:t>a. Validity duration per satellite/ephemeris</w:t>
      </w:r>
    </w:p>
    <w:p w14:paraId="48DDFF00" w14:textId="77777777" w:rsidR="0000598C" w:rsidRDefault="0000598C" w:rsidP="0000598C">
      <w:pPr>
        <w:spacing w:after="60"/>
        <w:jc w:val="both"/>
        <w:rPr>
          <w:b/>
        </w:rPr>
      </w:pPr>
      <w:r>
        <w:rPr>
          <w:b/>
        </w:rPr>
        <w:lastRenderedPageBreak/>
        <w:tab/>
      </w:r>
      <w:r>
        <w:rPr>
          <w:b/>
        </w:rPr>
        <w:tab/>
      </w:r>
      <w:r>
        <w:rPr>
          <w:b/>
        </w:rPr>
        <w:tab/>
      </w:r>
      <w:r>
        <w:rPr>
          <w:b/>
        </w:rPr>
        <w:tab/>
        <w:t>b. One validity duration for the new SIB containing the neighbour cell ephemeris</w:t>
      </w:r>
    </w:p>
    <w:p w14:paraId="078C7BDE" w14:textId="77777777" w:rsidR="0000598C" w:rsidRDefault="0000598C" w:rsidP="0000598C">
      <w:pPr>
        <w:spacing w:after="60"/>
        <w:jc w:val="both"/>
        <w:rPr>
          <w:b/>
        </w:rPr>
      </w:pPr>
      <w:r>
        <w:rPr>
          <w:b/>
        </w:rPr>
        <w:tab/>
      </w:r>
      <w:r>
        <w:rPr>
          <w:b/>
        </w:rPr>
        <w:tab/>
      </w:r>
      <w:r>
        <w:rPr>
          <w:b/>
        </w:rPr>
        <w:tab/>
      </w:r>
      <w:r>
        <w:rPr>
          <w:b/>
        </w:rPr>
        <w:tab/>
        <w:t xml:space="preserve">c. No validity duration for the new SIB, use SIB31 uplink sync validity duration to read new </w:t>
      </w:r>
      <w:r>
        <w:rPr>
          <w:b/>
        </w:rPr>
        <w:tab/>
      </w:r>
      <w:r>
        <w:rPr>
          <w:b/>
        </w:rPr>
        <w:tab/>
      </w:r>
      <w:r>
        <w:rPr>
          <w:b/>
        </w:rPr>
        <w:tab/>
      </w:r>
      <w:r>
        <w:rPr>
          <w:b/>
        </w:rPr>
        <w:tab/>
        <w:t>SIB.</w:t>
      </w:r>
    </w:p>
    <w:p w14:paraId="3378B776" w14:textId="77777777" w:rsidR="0000598C" w:rsidRDefault="0000598C" w:rsidP="0000598C">
      <w:pPr>
        <w:spacing w:after="60"/>
        <w:jc w:val="both"/>
        <w:rPr>
          <w:b/>
        </w:rPr>
      </w:pPr>
      <w:r>
        <w:rPr>
          <w:b/>
        </w:rPr>
        <w:tab/>
      </w:r>
      <w:r>
        <w:rPr>
          <w:b/>
        </w:rPr>
        <w:tab/>
      </w:r>
      <w:r>
        <w:rPr>
          <w:b/>
        </w:rPr>
        <w:tab/>
      </w:r>
      <w:r>
        <w:rPr>
          <w:b/>
        </w:rPr>
        <w:tab/>
        <w:t xml:space="preserve">d. The UE only acquires the new SIB once. This can for instance be when connecting to </w:t>
      </w:r>
      <w:r>
        <w:rPr>
          <w:b/>
        </w:rPr>
        <w:tab/>
      </w:r>
      <w:r>
        <w:rPr>
          <w:b/>
        </w:rPr>
        <w:tab/>
      </w:r>
      <w:r>
        <w:rPr>
          <w:b/>
        </w:rPr>
        <w:tab/>
      </w:r>
      <w:r>
        <w:rPr>
          <w:b/>
        </w:rPr>
        <w:tab/>
      </w:r>
      <w:r>
        <w:rPr>
          <w:b/>
        </w:rPr>
        <w:tab/>
        <w:t xml:space="preserve">the cell is the UE is capable of reading the new SIB. </w:t>
      </w:r>
    </w:p>
    <w:p w14:paraId="0BC8912B" w14:textId="77777777" w:rsidR="0000598C" w:rsidRPr="0016769C" w:rsidRDefault="0000598C" w:rsidP="0000598C">
      <w:pPr>
        <w:jc w:val="both"/>
        <w:rPr>
          <w:b/>
        </w:rPr>
      </w:pPr>
      <w:r>
        <w:rPr>
          <w:b/>
        </w:rPr>
        <w:t>Proposal 4: Target cell neighbour cell ephemeris for measurements is acquired in target cell when a handover is performed. Reading broadcasted SIB or dedicated signaling can be considered.</w:t>
      </w:r>
    </w:p>
    <w:p w14:paraId="5DB0FC0A" w14:textId="77777777" w:rsidR="0000598C" w:rsidRPr="00534672" w:rsidRDefault="0000598C" w:rsidP="0000598C">
      <w:pPr>
        <w:jc w:val="both"/>
        <w:rPr>
          <w:b/>
        </w:rPr>
      </w:pPr>
      <w:r>
        <w:rPr>
          <w:b/>
        </w:rPr>
        <w:t>Proposal 5: Introduce the same measurement triggers as for NB-IoT for eMTC, but for power saving purposes.</w:t>
      </w:r>
    </w:p>
    <w:p w14:paraId="532D6F59" w14:textId="77777777" w:rsidR="0000598C" w:rsidRPr="00534672" w:rsidRDefault="0000598C" w:rsidP="0000598C">
      <w:pPr>
        <w:jc w:val="both"/>
        <w:rPr>
          <w:b/>
        </w:rPr>
      </w:pPr>
      <w:r>
        <w:rPr>
          <w:b/>
        </w:rPr>
        <w:t>Proposal 6: RAN2 to consider use case-based / traffic-based conditions for not performing neighbour cell measurements.</w:t>
      </w:r>
    </w:p>
    <w:p w14:paraId="7FC95280" w14:textId="77777777" w:rsidR="0000598C" w:rsidRPr="001E2E76" w:rsidRDefault="0000598C" w:rsidP="0000598C">
      <w:pPr>
        <w:jc w:val="both"/>
        <w:rPr>
          <w:b/>
        </w:rPr>
      </w:pPr>
      <w:r>
        <w:rPr>
          <w:b/>
        </w:rPr>
        <w:t>Proposal 7: RAN2 to discuss how to improve NB-IoT RLF procedures by sending UE context in advance.</w:t>
      </w: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405079">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08E56826" w:rsidR="00D32165" w:rsidRPr="005525D5" w:rsidRDefault="00D32165" w:rsidP="00405079">
      <w:pPr>
        <w:pStyle w:val="references"/>
        <w:spacing w:after="180" w:line="240" w:lineRule="auto"/>
        <w:rPr>
          <w:szCs w:val="20"/>
        </w:rPr>
      </w:pPr>
      <w:r>
        <w:rPr>
          <w:rFonts w:ascii="Arial" w:hAnsi="Arial" w:cs="Arial"/>
          <w:szCs w:val="20"/>
        </w:rPr>
        <w:t>RP-223519, Revised WID on IoT NTN enhancements, Mediatek Inc., RAN#98-e, December 2022</w:t>
      </w:r>
    </w:p>
    <w:p w14:paraId="3647F3EC" w14:textId="19346F7D" w:rsidR="005525D5" w:rsidRPr="00ED4FE8" w:rsidRDefault="007522E2" w:rsidP="00405079">
      <w:pPr>
        <w:pStyle w:val="references"/>
        <w:spacing w:after="180" w:line="240" w:lineRule="auto"/>
        <w:rPr>
          <w:szCs w:val="20"/>
        </w:rPr>
      </w:pPr>
      <w:r>
        <w:rPr>
          <w:rFonts w:ascii="Arial" w:hAnsi="Arial" w:cs="Arial"/>
          <w:szCs w:val="20"/>
        </w:rPr>
        <w:t>RAN#1</w:t>
      </w:r>
      <w:r w:rsidR="00D32165">
        <w:rPr>
          <w:rFonts w:ascii="Arial" w:hAnsi="Arial" w:cs="Arial"/>
          <w:szCs w:val="20"/>
        </w:rPr>
        <w:t>20</w:t>
      </w:r>
      <w:r>
        <w:rPr>
          <w:rFonts w:ascii="Arial" w:hAnsi="Arial" w:cs="Arial"/>
          <w:szCs w:val="20"/>
        </w:rPr>
        <w:t>-e</w:t>
      </w:r>
      <w:r w:rsidR="005525D5">
        <w:rPr>
          <w:rFonts w:ascii="Arial" w:hAnsi="Arial" w:cs="Arial"/>
          <w:szCs w:val="20"/>
        </w:rPr>
        <w:t xml:space="preserve"> Chairman’s notes. </w:t>
      </w:r>
    </w:p>
    <w:p w14:paraId="0BA5D705" w14:textId="567312F4" w:rsidR="00ED4FE8" w:rsidRPr="00ED4FE8" w:rsidRDefault="00ED4FE8" w:rsidP="00ED4FE8">
      <w:pPr>
        <w:pStyle w:val="references"/>
        <w:spacing w:after="180" w:line="240" w:lineRule="auto"/>
        <w:rPr>
          <w:szCs w:val="20"/>
        </w:rPr>
      </w:pPr>
      <w:r>
        <w:rPr>
          <w:rFonts w:ascii="Arial" w:hAnsi="Arial" w:cs="Arial"/>
          <w:szCs w:val="20"/>
        </w:rPr>
        <w:t xml:space="preserve">RAN#121-e Chairman’s notes. </w:t>
      </w:r>
    </w:p>
    <w:p w14:paraId="5723E6BD" w14:textId="1757C165" w:rsidR="0004383E" w:rsidRDefault="0004383E" w:rsidP="0004383E">
      <w:pPr>
        <w:rPr>
          <w:lang w:val="en-GB" w:eastAsia="en-US"/>
        </w:rPr>
      </w:pPr>
    </w:p>
    <w:p w14:paraId="1CA30647" w14:textId="35348951" w:rsidR="0004383E" w:rsidRDefault="0004383E" w:rsidP="0004383E">
      <w:pPr>
        <w:rPr>
          <w:lang w:val="en-GB" w:eastAsia="en-US"/>
        </w:rPr>
      </w:pPr>
    </w:p>
    <w:p w14:paraId="3B84B2C1" w14:textId="77777777" w:rsidR="0004383E" w:rsidRPr="0004383E" w:rsidRDefault="0004383E" w:rsidP="0004383E">
      <w:pPr>
        <w:rPr>
          <w:lang w:eastAsia="en-US"/>
        </w:rPr>
      </w:pPr>
    </w:p>
    <w:sectPr w:rsidR="0004383E" w:rsidRPr="000438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9FA8" w14:textId="77777777" w:rsidR="0078165B" w:rsidRDefault="0078165B" w:rsidP="00051DF8">
      <w:r>
        <w:separator/>
      </w:r>
    </w:p>
  </w:endnote>
  <w:endnote w:type="continuationSeparator" w:id="0">
    <w:p w14:paraId="073805CF" w14:textId="77777777" w:rsidR="0078165B" w:rsidRDefault="0078165B" w:rsidP="00051DF8">
      <w:r>
        <w:continuationSeparator/>
      </w:r>
    </w:p>
  </w:endnote>
  <w:endnote w:type="continuationNotice" w:id="1">
    <w:p w14:paraId="396A1EFE" w14:textId="77777777" w:rsidR="0078165B" w:rsidRDefault="0078165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DC5E6" w14:textId="77777777" w:rsidR="0078165B" w:rsidRDefault="0078165B" w:rsidP="00051DF8">
      <w:r>
        <w:separator/>
      </w:r>
    </w:p>
  </w:footnote>
  <w:footnote w:type="continuationSeparator" w:id="0">
    <w:p w14:paraId="497A8DF5" w14:textId="77777777" w:rsidR="0078165B" w:rsidRDefault="0078165B" w:rsidP="00051DF8">
      <w:r>
        <w:continuationSeparator/>
      </w:r>
    </w:p>
  </w:footnote>
  <w:footnote w:type="continuationNotice" w:id="1">
    <w:p w14:paraId="38B4948D" w14:textId="77777777" w:rsidR="0078165B" w:rsidRDefault="0078165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1"/>
  </w:num>
  <w:num w:numId="4">
    <w:abstractNumId w:val="7"/>
  </w:num>
  <w:num w:numId="5">
    <w:abstractNumId w:val="8"/>
  </w:num>
  <w:num w:numId="6">
    <w:abstractNumId w:val="5"/>
  </w:num>
  <w:num w:numId="7">
    <w:abstractNumId w:val="3"/>
  </w:num>
  <w:num w:numId="8">
    <w:abstractNumId w:val="9"/>
  </w:num>
  <w:num w:numId="9">
    <w:abstractNumId w:val="4"/>
  </w:num>
  <w:num w:numId="10">
    <w:abstractNumId w:val="6"/>
  </w:num>
  <w:num w:numId="11">
    <w:abstractNumId w:val="1"/>
  </w:num>
  <w:num w:numId="12">
    <w:abstractNumId w:val="2"/>
  </w:num>
  <w:num w:numId="13">
    <w:abstractNumId w:val="12"/>
  </w:num>
  <w:num w:numId="14">
    <w:abstractNumId w:val="0"/>
  </w:num>
  <w:num w:numId="15">
    <w:abstractNumId w:val="10"/>
  </w:num>
  <w:num w:numId="16">
    <w:abstractNumId w:val="13"/>
  </w:num>
  <w:num w:numId="17">
    <w:abstractNumId w:val="14"/>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598C"/>
    <w:rsid w:val="00006DCE"/>
    <w:rsid w:val="00007761"/>
    <w:rsid w:val="00007CAB"/>
    <w:rsid w:val="0001163B"/>
    <w:rsid w:val="00011C8D"/>
    <w:rsid w:val="00013CDB"/>
    <w:rsid w:val="00014BC5"/>
    <w:rsid w:val="000153CC"/>
    <w:rsid w:val="00015950"/>
    <w:rsid w:val="00016031"/>
    <w:rsid w:val="000162E9"/>
    <w:rsid w:val="000163E2"/>
    <w:rsid w:val="00016554"/>
    <w:rsid w:val="00016557"/>
    <w:rsid w:val="00022927"/>
    <w:rsid w:val="0002299F"/>
    <w:rsid w:val="00023C40"/>
    <w:rsid w:val="00025377"/>
    <w:rsid w:val="00025423"/>
    <w:rsid w:val="00026BFC"/>
    <w:rsid w:val="00027DC5"/>
    <w:rsid w:val="000302F2"/>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60D3E"/>
    <w:rsid w:val="000647B6"/>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481F"/>
    <w:rsid w:val="000F526A"/>
    <w:rsid w:val="000F57DC"/>
    <w:rsid w:val="000F6A70"/>
    <w:rsid w:val="000F6CE7"/>
    <w:rsid w:val="000F7A11"/>
    <w:rsid w:val="00100327"/>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1DA1"/>
    <w:rsid w:val="001741A0"/>
    <w:rsid w:val="00174291"/>
    <w:rsid w:val="00174398"/>
    <w:rsid w:val="00175FA0"/>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AC5"/>
    <w:rsid w:val="0024324A"/>
    <w:rsid w:val="00243DE1"/>
    <w:rsid w:val="00244A05"/>
    <w:rsid w:val="002455B8"/>
    <w:rsid w:val="00247550"/>
    <w:rsid w:val="00250404"/>
    <w:rsid w:val="00250645"/>
    <w:rsid w:val="002508F7"/>
    <w:rsid w:val="00252D6F"/>
    <w:rsid w:val="0025613A"/>
    <w:rsid w:val="00260EC0"/>
    <w:rsid w:val="002610D8"/>
    <w:rsid w:val="00266AF5"/>
    <w:rsid w:val="00266D49"/>
    <w:rsid w:val="002675D3"/>
    <w:rsid w:val="002709D8"/>
    <w:rsid w:val="00270A2B"/>
    <w:rsid w:val="002747EC"/>
    <w:rsid w:val="002772A6"/>
    <w:rsid w:val="002815C0"/>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1D88"/>
    <w:rsid w:val="002B3354"/>
    <w:rsid w:val="002B35F1"/>
    <w:rsid w:val="002B3F8E"/>
    <w:rsid w:val="002B44B8"/>
    <w:rsid w:val="002C260C"/>
    <w:rsid w:val="002C69AA"/>
    <w:rsid w:val="002D093F"/>
    <w:rsid w:val="002D2C29"/>
    <w:rsid w:val="002D2CA2"/>
    <w:rsid w:val="002D6446"/>
    <w:rsid w:val="002D657A"/>
    <w:rsid w:val="002E00B5"/>
    <w:rsid w:val="002E246F"/>
    <w:rsid w:val="002E26C0"/>
    <w:rsid w:val="002E79BB"/>
    <w:rsid w:val="002F0D22"/>
    <w:rsid w:val="002F12A5"/>
    <w:rsid w:val="002F244D"/>
    <w:rsid w:val="002F3DF3"/>
    <w:rsid w:val="002F5304"/>
    <w:rsid w:val="0030563B"/>
    <w:rsid w:val="00305DAA"/>
    <w:rsid w:val="00306241"/>
    <w:rsid w:val="003073B9"/>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B16"/>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75B6"/>
    <w:rsid w:val="005134A6"/>
    <w:rsid w:val="005154AF"/>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F0D6D"/>
    <w:rsid w:val="005F2403"/>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2396"/>
    <w:rsid w:val="006326D4"/>
    <w:rsid w:val="00635845"/>
    <w:rsid w:val="006366DF"/>
    <w:rsid w:val="00640307"/>
    <w:rsid w:val="00643340"/>
    <w:rsid w:val="00646D99"/>
    <w:rsid w:val="006479C4"/>
    <w:rsid w:val="006504D6"/>
    <w:rsid w:val="00650567"/>
    <w:rsid w:val="006510E9"/>
    <w:rsid w:val="00652B9E"/>
    <w:rsid w:val="00653358"/>
    <w:rsid w:val="006541A1"/>
    <w:rsid w:val="00654596"/>
    <w:rsid w:val="00654F4E"/>
    <w:rsid w:val="00655298"/>
    <w:rsid w:val="00656910"/>
    <w:rsid w:val="00656E05"/>
    <w:rsid w:val="006574C0"/>
    <w:rsid w:val="00657CA6"/>
    <w:rsid w:val="0066096B"/>
    <w:rsid w:val="0066417C"/>
    <w:rsid w:val="006662B7"/>
    <w:rsid w:val="00670C14"/>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416F"/>
    <w:rsid w:val="006A4A4B"/>
    <w:rsid w:val="006B161F"/>
    <w:rsid w:val="006B2C4A"/>
    <w:rsid w:val="006C1B70"/>
    <w:rsid w:val="006C2167"/>
    <w:rsid w:val="006C66D8"/>
    <w:rsid w:val="006C7C48"/>
    <w:rsid w:val="006D067F"/>
    <w:rsid w:val="006D1E24"/>
    <w:rsid w:val="006D35DE"/>
    <w:rsid w:val="006D3AF4"/>
    <w:rsid w:val="006D3CBB"/>
    <w:rsid w:val="006D4D6F"/>
    <w:rsid w:val="006D530C"/>
    <w:rsid w:val="006D554E"/>
    <w:rsid w:val="006E0403"/>
    <w:rsid w:val="006E1057"/>
    <w:rsid w:val="006E1417"/>
    <w:rsid w:val="006E19AF"/>
    <w:rsid w:val="006E401D"/>
    <w:rsid w:val="006E4AE6"/>
    <w:rsid w:val="006F69EC"/>
    <w:rsid w:val="006F6A2C"/>
    <w:rsid w:val="00701323"/>
    <w:rsid w:val="00705BC0"/>
    <w:rsid w:val="007069DC"/>
    <w:rsid w:val="00710201"/>
    <w:rsid w:val="007102CD"/>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472"/>
    <w:rsid w:val="0078165B"/>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0C28"/>
    <w:rsid w:val="007A2E55"/>
    <w:rsid w:val="007A3137"/>
    <w:rsid w:val="007A7099"/>
    <w:rsid w:val="007A74F5"/>
    <w:rsid w:val="007B09F5"/>
    <w:rsid w:val="007B18D8"/>
    <w:rsid w:val="007B2202"/>
    <w:rsid w:val="007B2A65"/>
    <w:rsid w:val="007B32DC"/>
    <w:rsid w:val="007B3C9A"/>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E1392"/>
    <w:rsid w:val="007E26E9"/>
    <w:rsid w:val="007E2EF9"/>
    <w:rsid w:val="007E34F3"/>
    <w:rsid w:val="007F03B5"/>
    <w:rsid w:val="007F09F2"/>
    <w:rsid w:val="007F2D37"/>
    <w:rsid w:val="007F2E08"/>
    <w:rsid w:val="007F4297"/>
    <w:rsid w:val="007F7AA7"/>
    <w:rsid w:val="007F7EC4"/>
    <w:rsid w:val="00800199"/>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2511"/>
    <w:rsid w:val="008A331F"/>
    <w:rsid w:val="008B3C42"/>
    <w:rsid w:val="008B5306"/>
    <w:rsid w:val="008B74A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4AF8"/>
    <w:rsid w:val="008E799C"/>
    <w:rsid w:val="008F396F"/>
    <w:rsid w:val="008F3DCD"/>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6071"/>
    <w:rsid w:val="00936F38"/>
    <w:rsid w:val="009376AF"/>
    <w:rsid w:val="009376CD"/>
    <w:rsid w:val="00940212"/>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6B60"/>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2629"/>
    <w:rsid w:val="00A7298F"/>
    <w:rsid w:val="00A745A3"/>
    <w:rsid w:val="00A75A4F"/>
    <w:rsid w:val="00A76932"/>
    <w:rsid w:val="00A82346"/>
    <w:rsid w:val="00A82C04"/>
    <w:rsid w:val="00A85727"/>
    <w:rsid w:val="00A860CF"/>
    <w:rsid w:val="00A90727"/>
    <w:rsid w:val="00A91596"/>
    <w:rsid w:val="00A9671C"/>
    <w:rsid w:val="00AA1553"/>
    <w:rsid w:val="00AA4F5A"/>
    <w:rsid w:val="00AA5A02"/>
    <w:rsid w:val="00AA610D"/>
    <w:rsid w:val="00AA6D24"/>
    <w:rsid w:val="00AB11DA"/>
    <w:rsid w:val="00AB20DF"/>
    <w:rsid w:val="00AB2C03"/>
    <w:rsid w:val="00AB3DDD"/>
    <w:rsid w:val="00AB4454"/>
    <w:rsid w:val="00AC507F"/>
    <w:rsid w:val="00AC6887"/>
    <w:rsid w:val="00AD3082"/>
    <w:rsid w:val="00AE5D2D"/>
    <w:rsid w:val="00AF1733"/>
    <w:rsid w:val="00AF1776"/>
    <w:rsid w:val="00AF371E"/>
    <w:rsid w:val="00AF649F"/>
    <w:rsid w:val="00AF7C5F"/>
    <w:rsid w:val="00B0385E"/>
    <w:rsid w:val="00B04A76"/>
    <w:rsid w:val="00B05380"/>
    <w:rsid w:val="00B05962"/>
    <w:rsid w:val="00B05C08"/>
    <w:rsid w:val="00B11C8B"/>
    <w:rsid w:val="00B11EAC"/>
    <w:rsid w:val="00B13A48"/>
    <w:rsid w:val="00B14B63"/>
    <w:rsid w:val="00B15449"/>
    <w:rsid w:val="00B157CB"/>
    <w:rsid w:val="00B15B76"/>
    <w:rsid w:val="00B16C2F"/>
    <w:rsid w:val="00B176C9"/>
    <w:rsid w:val="00B25D3B"/>
    <w:rsid w:val="00B2602A"/>
    <w:rsid w:val="00B261CD"/>
    <w:rsid w:val="00B27303"/>
    <w:rsid w:val="00B30F22"/>
    <w:rsid w:val="00B314DB"/>
    <w:rsid w:val="00B31F1F"/>
    <w:rsid w:val="00B34577"/>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8075F"/>
    <w:rsid w:val="00B84B49"/>
    <w:rsid w:val="00B84DB2"/>
    <w:rsid w:val="00B873FD"/>
    <w:rsid w:val="00B965D1"/>
    <w:rsid w:val="00BA18CB"/>
    <w:rsid w:val="00BA1A49"/>
    <w:rsid w:val="00BA55D1"/>
    <w:rsid w:val="00BA56A5"/>
    <w:rsid w:val="00BB12BA"/>
    <w:rsid w:val="00BB15DE"/>
    <w:rsid w:val="00BB1F15"/>
    <w:rsid w:val="00BB242A"/>
    <w:rsid w:val="00BB3BBA"/>
    <w:rsid w:val="00BB7251"/>
    <w:rsid w:val="00BB7C42"/>
    <w:rsid w:val="00BC1BC3"/>
    <w:rsid w:val="00BC2CAC"/>
    <w:rsid w:val="00BC32E4"/>
    <w:rsid w:val="00BC3555"/>
    <w:rsid w:val="00BD03E5"/>
    <w:rsid w:val="00BD2CE9"/>
    <w:rsid w:val="00BD5D0A"/>
    <w:rsid w:val="00BE034C"/>
    <w:rsid w:val="00BE07D3"/>
    <w:rsid w:val="00BE0A0C"/>
    <w:rsid w:val="00BE2A19"/>
    <w:rsid w:val="00BE7451"/>
    <w:rsid w:val="00BF14F3"/>
    <w:rsid w:val="00BF3CBC"/>
    <w:rsid w:val="00BF4333"/>
    <w:rsid w:val="00BF4969"/>
    <w:rsid w:val="00C00351"/>
    <w:rsid w:val="00C00512"/>
    <w:rsid w:val="00C0146E"/>
    <w:rsid w:val="00C04A27"/>
    <w:rsid w:val="00C060FE"/>
    <w:rsid w:val="00C11561"/>
    <w:rsid w:val="00C12B51"/>
    <w:rsid w:val="00C1493D"/>
    <w:rsid w:val="00C151D4"/>
    <w:rsid w:val="00C1670C"/>
    <w:rsid w:val="00C21AA8"/>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362D"/>
    <w:rsid w:val="00C54AE7"/>
    <w:rsid w:val="00C54B3F"/>
    <w:rsid w:val="00C54DA4"/>
    <w:rsid w:val="00C54F5D"/>
    <w:rsid w:val="00C55038"/>
    <w:rsid w:val="00C55A12"/>
    <w:rsid w:val="00C56C9F"/>
    <w:rsid w:val="00C637FD"/>
    <w:rsid w:val="00C6553E"/>
    <w:rsid w:val="00C66523"/>
    <w:rsid w:val="00C66D96"/>
    <w:rsid w:val="00C70DC4"/>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72B8"/>
    <w:rsid w:val="00CC3C7A"/>
    <w:rsid w:val="00CC4132"/>
    <w:rsid w:val="00CC4645"/>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9F7"/>
    <w:rsid w:val="00D020FC"/>
    <w:rsid w:val="00D06125"/>
    <w:rsid w:val="00D06188"/>
    <w:rsid w:val="00D12DDB"/>
    <w:rsid w:val="00D1769D"/>
    <w:rsid w:val="00D24051"/>
    <w:rsid w:val="00D24C0D"/>
    <w:rsid w:val="00D30635"/>
    <w:rsid w:val="00D30C9E"/>
    <w:rsid w:val="00D3216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60C67"/>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7E4F"/>
    <w:rsid w:val="00E41B53"/>
    <w:rsid w:val="00E41C0F"/>
    <w:rsid w:val="00E45739"/>
    <w:rsid w:val="00E46C08"/>
    <w:rsid w:val="00E471CF"/>
    <w:rsid w:val="00E47979"/>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A0DCF"/>
    <w:rsid w:val="00EA12F9"/>
    <w:rsid w:val="00EA3E27"/>
    <w:rsid w:val="00EA5A15"/>
    <w:rsid w:val="00EA63FC"/>
    <w:rsid w:val="00EA66C9"/>
    <w:rsid w:val="00EA715F"/>
    <w:rsid w:val="00EA7523"/>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71D"/>
    <w:rsid w:val="00EE6E39"/>
    <w:rsid w:val="00EF0C39"/>
    <w:rsid w:val="00EF0DB9"/>
    <w:rsid w:val="00EF612C"/>
    <w:rsid w:val="00F00A10"/>
    <w:rsid w:val="00F01C6C"/>
    <w:rsid w:val="00F01C7D"/>
    <w:rsid w:val="00F025A2"/>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9521-14FB-4107-A787-7A68D8C3C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2023-03-06T18:02:00Z</dcterms:created>
  <dcterms:modified xsi:type="dcterms:W3CDTF">2023-04-07T05:44:00Z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